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04" w:rsidRPr="00AF71E7" w:rsidRDefault="00B14504" w:rsidP="00B14504">
      <w:pPr>
        <w:spacing w:line="360" w:lineRule="auto"/>
        <w:jc w:val="both"/>
        <w:rPr>
          <w:rFonts w:cs="Arial"/>
          <w:b/>
          <w:sz w:val="28"/>
          <w:szCs w:val="28"/>
        </w:rPr>
      </w:pPr>
      <w:bookmarkStart w:id="0" w:name="OLE_LINK1"/>
      <w:bookmarkStart w:id="1" w:name="_GoBack"/>
      <w:bookmarkEnd w:id="1"/>
      <w:r>
        <w:rPr>
          <w:rFonts w:cs="Arial"/>
          <w:b/>
          <w:sz w:val="28"/>
          <w:szCs w:val="28"/>
        </w:rPr>
        <w:t>Asia’s</w:t>
      </w:r>
      <w:r w:rsidRPr="00AF71E7">
        <w:rPr>
          <w:rFonts w:cs="Arial"/>
          <w:b/>
          <w:sz w:val="28"/>
          <w:szCs w:val="28"/>
        </w:rPr>
        <w:t xml:space="preserve"> </w:t>
      </w:r>
      <w:r>
        <w:rPr>
          <w:rFonts w:cs="Arial"/>
          <w:b/>
          <w:sz w:val="28"/>
          <w:szCs w:val="28"/>
        </w:rPr>
        <w:t xml:space="preserve">first </w:t>
      </w:r>
      <w:r w:rsidRPr="00AF71E7">
        <w:rPr>
          <w:rFonts w:cs="Arial"/>
          <w:b/>
          <w:sz w:val="28"/>
          <w:szCs w:val="28"/>
        </w:rPr>
        <w:t>Sandvik</w:t>
      </w:r>
      <w:r>
        <w:rPr>
          <w:rFonts w:cs="Arial"/>
          <w:b/>
          <w:sz w:val="28"/>
          <w:szCs w:val="28"/>
        </w:rPr>
        <w:t xml:space="preserve"> DT1130i</w:t>
      </w:r>
      <w:r w:rsidRPr="00AF71E7">
        <w:rPr>
          <w:rFonts w:cs="Arial"/>
          <w:b/>
          <w:sz w:val="28"/>
          <w:szCs w:val="28"/>
        </w:rPr>
        <w:t xml:space="preserve"> jumbo cut</w:t>
      </w:r>
      <w:r>
        <w:rPr>
          <w:rFonts w:cs="Arial"/>
          <w:b/>
          <w:sz w:val="28"/>
          <w:szCs w:val="28"/>
        </w:rPr>
        <w:t>s</w:t>
      </w:r>
      <w:r w:rsidRPr="00AF71E7">
        <w:rPr>
          <w:rFonts w:cs="Arial"/>
          <w:b/>
          <w:sz w:val="28"/>
          <w:szCs w:val="28"/>
        </w:rPr>
        <w:t xml:space="preserve"> tunnel through Korean mountain</w:t>
      </w:r>
    </w:p>
    <w:p w:rsidR="00B14504" w:rsidRDefault="00B14504" w:rsidP="00B14504">
      <w:pPr>
        <w:spacing w:line="360" w:lineRule="auto"/>
        <w:jc w:val="both"/>
        <w:rPr>
          <w:rFonts w:cs="Arial"/>
          <w:b/>
          <w:szCs w:val="24"/>
        </w:rPr>
      </w:pPr>
    </w:p>
    <w:p w:rsidR="00B14504" w:rsidRPr="00B14504" w:rsidRDefault="00B14504" w:rsidP="00B14504">
      <w:pPr>
        <w:jc w:val="both"/>
        <w:rPr>
          <w:rFonts w:cs="Arial"/>
          <w:b/>
          <w:sz w:val="20"/>
        </w:rPr>
      </w:pPr>
      <w:r w:rsidRPr="00B14504">
        <w:rPr>
          <w:rFonts w:cs="Arial"/>
          <w:b/>
          <w:sz w:val="20"/>
        </w:rPr>
        <w:t>Taeah Construction is using Sandvik DT1130i jumbo drill rig in Asia to cut 2.367 km of tunnel through a granite mountain outside of Seoul.</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 xml:space="preserve">A Sandvik </w:t>
      </w:r>
      <w:r w:rsidRPr="00B14504">
        <w:rPr>
          <w:rFonts w:cs="Arial"/>
          <w:color w:val="1F1F1F"/>
          <w:sz w:val="20"/>
        </w:rPr>
        <w:t>DT1130i</w:t>
      </w:r>
      <w:r w:rsidRPr="00B14504">
        <w:rPr>
          <w:rFonts w:cs="Arial"/>
          <w:sz w:val="20"/>
        </w:rPr>
        <w:t xml:space="preserve"> jumbo drilling rig equipped with Sandvik drill bits and rods is being used by South Korean contractor Taeah Construction to cut through a granite mountain for the construction of a tunnel on the Kangnam Beltway, on the southern side of Seoul.</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complete project is being carried out by Doosan Construction Ltd, and is for a 12.40 km stretch of six-lane highway from Geumcheon, a district of technology businesses, to the upmarket residential district of Seocho.</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highway needs to pass under the Gwanaksan mountain, a 632m high granite formation whose name in Korean means ‘hat-shaped peak’.  Taeah, as a sub-contractor, is excavating 2.367km of the 4.99km Gwanak tunnel.</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Approximately 17 % of the total tunnel length passes through hard and medium-hard granite, with Taeah’s half of the tunnel passing through the major share of this type of ground representing about 55 % of its contract.</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A specialist contractor in tunnelling through rock, Taeah is the largest company of its type in the region and a key customer of Seoul-based Sandvik Suhjun Ltd.</w:t>
      </w:r>
    </w:p>
    <w:p w:rsidR="00B14504" w:rsidRPr="00B14504" w:rsidRDefault="00B14504" w:rsidP="00B14504">
      <w:pPr>
        <w:widowControl w:val="0"/>
        <w:autoSpaceDE w:val="0"/>
        <w:autoSpaceDN w:val="0"/>
        <w:adjustRightInd w:val="0"/>
        <w:jc w:val="both"/>
        <w:rPr>
          <w:rFonts w:cs="Arial"/>
          <w:sz w:val="20"/>
        </w:rPr>
      </w:pPr>
    </w:p>
    <w:p w:rsidR="00B14504" w:rsidRPr="00B14504" w:rsidRDefault="00B14504" w:rsidP="00B14504">
      <w:pPr>
        <w:widowControl w:val="0"/>
        <w:autoSpaceDE w:val="0"/>
        <w:autoSpaceDN w:val="0"/>
        <w:adjustRightInd w:val="0"/>
        <w:jc w:val="both"/>
        <w:rPr>
          <w:rFonts w:cs="Arial"/>
          <w:sz w:val="20"/>
        </w:rPr>
      </w:pPr>
    </w:p>
    <w:p w:rsidR="00B14504" w:rsidRPr="00B14504" w:rsidRDefault="00B14504" w:rsidP="00B14504">
      <w:pPr>
        <w:widowControl w:val="0"/>
        <w:autoSpaceDE w:val="0"/>
        <w:autoSpaceDN w:val="0"/>
        <w:adjustRightInd w:val="0"/>
        <w:jc w:val="both"/>
        <w:rPr>
          <w:rFonts w:cs="Arial"/>
          <w:sz w:val="20"/>
        </w:rPr>
      </w:pPr>
      <w:r w:rsidRPr="00B14504">
        <w:rPr>
          <w:rFonts w:cs="Arial"/>
          <w:sz w:val="20"/>
        </w:rPr>
        <w:t xml:space="preserve">The recently launched Sandvik DTi series comprises four different models for excavation of 16 - 203 m² cross-sections, including face drilling, bolt hole drilling, and mechanised long-hole drilling. </w:t>
      </w:r>
    </w:p>
    <w:p w:rsidR="00B14504" w:rsidRPr="00B14504" w:rsidRDefault="00B14504" w:rsidP="00B14504">
      <w:pPr>
        <w:widowControl w:val="0"/>
        <w:autoSpaceDE w:val="0"/>
        <w:autoSpaceDN w:val="0"/>
        <w:adjustRightInd w:val="0"/>
        <w:jc w:val="both"/>
        <w:rPr>
          <w:rFonts w:cs="Arial"/>
          <w:sz w:val="20"/>
        </w:rPr>
      </w:pPr>
    </w:p>
    <w:p w:rsidR="00B14504" w:rsidRPr="00B14504" w:rsidRDefault="00B14504" w:rsidP="00B14504">
      <w:pPr>
        <w:widowControl w:val="0"/>
        <w:autoSpaceDE w:val="0"/>
        <w:autoSpaceDN w:val="0"/>
        <w:adjustRightInd w:val="0"/>
        <w:jc w:val="both"/>
        <w:rPr>
          <w:rFonts w:cs="Arial"/>
          <w:sz w:val="20"/>
        </w:rPr>
      </w:pPr>
      <w:r w:rsidRPr="00B14504">
        <w:rPr>
          <w:rFonts w:cs="Arial"/>
          <w:sz w:val="20"/>
        </w:rPr>
        <w:t>The DTi models are designed for automatic use, but there is also a range of practical features allowing the operator to fine tune the process on line if the rock conditions so require. This means that a single operator can easily manage the jumbo and all its drilling booms.</w:t>
      </w:r>
    </w:p>
    <w:p w:rsidR="00B14504" w:rsidRPr="00B14504" w:rsidRDefault="00B14504" w:rsidP="00B14504">
      <w:pPr>
        <w:widowControl w:val="0"/>
        <w:autoSpaceDE w:val="0"/>
        <w:autoSpaceDN w:val="0"/>
        <w:adjustRightInd w:val="0"/>
        <w:jc w:val="both"/>
        <w:rPr>
          <w:rFonts w:cs="Arial"/>
          <w:sz w:val="20"/>
        </w:rPr>
      </w:pPr>
    </w:p>
    <w:p w:rsidR="00B14504" w:rsidRPr="00B14504" w:rsidRDefault="00B14504" w:rsidP="00B14504">
      <w:pPr>
        <w:widowControl w:val="0"/>
        <w:autoSpaceDE w:val="0"/>
        <w:autoSpaceDN w:val="0"/>
        <w:adjustRightInd w:val="0"/>
        <w:jc w:val="both"/>
        <w:rPr>
          <w:rFonts w:cs="Arial"/>
          <w:b/>
          <w:sz w:val="20"/>
        </w:rPr>
      </w:pPr>
      <w:r w:rsidRPr="00B14504">
        <w:rPr>
          <w:rFonts w:cs="Arial"/>
          <w:b/>
          <w:sz w:val="20"/>
        </w:rPr>
        <w:t>Sandvik iSure</w:t>
      </w:r>
    </w:p>
    <w:p w:rsidR="00B14504" w:rsidRPr="00B14504" w:rsidRDefault="00B14504" w:rsidP="00B14504">
      <w:pPr>
        <w:widowControl w:val="0"/>
        <w:autoSpaceDE w:val="0"/>
        <w:autoSpaceDN w:val="0"/>
        <w:adjustRightInd w:val="0"/>
        <w:jc w:val="both"/>
        <w:rPr>
          <w:rFonts w:cs="Arial"/>
          <w:sz w:val="20"/>
        </w:rPr>
      </w:pPr>
    </w:p>
    <w:p w:rsidR="00B14504" w:rsidRPr="00B14504" w:rsidRDefault="00B14504" w:rsidP="00B14504">
      <w:pPr>
        <w:widowControl w:val="0"/>
        <w:autoSpaceDE w:val="0"/>
        <w:autoSpaceDN w:val="0"/>
        <w:adjustRightInd w:val="0"/>
        <w:jc w:val="both"/>
        <w:rPr>
          <w:rFonts w:cs="Arial"/>
          <w:sz w:val="20"/>
        </w:rPr>
      </w:pPr>
      <w:r w:rsidRPr="00B14504">
        <w:rPr>
          <w:rFonts w:cs="Arial"/>
          <w:sz w:val="20"/>
        </w:rPr>
        <w:t>The DTi jumbos utilise a new tunnel planning software, Sandvik iSure, which offers a totally new and efficient way of simultaneously working with blasting and drilling patterns. The iSure software ensures optimised blasting as per plan and supplies better pull-out, decreased need for scaling, increased rock loadability and smoother collaring in the following round, resulting in higher excavation quality.</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DT1130i being used on Taeah’s contract has three booms and can cover an area ranging from 20 to 183 m².</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Taeah’s stretch of tunnel begins at the Gwanak Interchange, in front of the main campus of Seoul National University. Since starting on September 20 last year the contractor had, by October 2011,  excavated a pit at the foot of the hill and begun the tunnel drive through some of the hardest rock that will be encountered in the mountain.</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Taeah is in fact cutting two tunnels, one for each direction of the highway, but is using only one Sandvik jumbo for the work. Total length of tunnelling on Taeah’s section is 2,128.50 m, plus 238 .50 m for auxiliary works.</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lastRenderedPageBreak/>
        <w:t>Project Manager Seong-su Kim says that the soil types in the tunnel have been divided into five categories, with Type 1 representing the hardest granite, Type 2 medium granite, and Types 3, 4 and 5 representing various degrees of granite and soil mixes.</w:t>
      </w:r>
    </w:p>
    <w:p w:rsidR="00B14504" w:rsidRPr="00B14504" w:rsidRDefault="00B14504" w:rsidP="00B14504">
      <w:pPr>
        <w:jc w:val="both"/>
        <w:rPr>
          <w:rFonts w:cs="Arial"/>
          <w:sz w:val="20"/>
        </w:rPr>
      </w:pPr>
      <w:r w:rsidRPr="00B14504">
        <w:rPr>
          <w:rFonts w:cs="Arial"/>
          <w:sz w:val="20"/>
        </w:rPr>
        <w:t>Mr Kim says that tunnelling work began in July 2011, when Types 3,4 and 5 were encountered, and that in August the contractor ran into harder material. During August, Taeah cut through 50 m of Type 1 granite, 42 m of Type 2, 36 m of Type 3, 12 m of Type 4, and 15 m of Type 5.</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September saw 100 m of Type 1, 78 m of Type 2, 3 m of Type 3, and none of 4 and 5.</w:t>
      </w:r>
    </w:p>
    <w:p w:rsidR="00B14504" w:rsidRPr="00B14504" w:rsidRDefault="00B14504" w:rsidP="00B14504">
      <w:pPr>
        <w:jc w:val="both"/>
        <w:rPr>
          <w:rFonts w:cs="Arial"/>
          <w:sz w:val="20"/>
        </w:rPr>
      </w:pPr>
      <w:r w:rsidRPr="00B14504">
        <w:rPr>
          <w:rFonts w:cs="Arial"/>
          <w:sz w:val="20"/>
        </w:rPr>
        <w:t xml:space="preserve">The jumbo is used for drilling the face in one tunnel, and then removed for the blasting, during which time it drills the face in the second tunnel. </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Although the rig is working 24 hours a day, only three operators are required, all of them employees of Taeah, and trained by Sandvik Suhjun.</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width of the main part of the tunnel is 20 m and the height 10 m, with a shorter stretch of 14 m wide and 9 m high.</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Drilling of the face is being conducted on two bench levels, as designed by the consulting engineers for safety reasons, with the hole diameter being 45 mm, the Korean standard specification.</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face is being drilled for two specified blasting levels, once again set out by the consulting engineer. On the top bench the rig is drilling 140 or 150 holes, and on the lower bench it is drilling 70 to 80 holes.</w:t>
      </w:r>
    </w:p>
    <w:p w:rsidR="00B14504" w:rsidRPr="00B14504" w:rsidRDefault="00B14504" w:rsidP="00B14504">
      <w:pPr>
        <w:jc w:val="both"/>
        <w:rPr>
          <w:rFonts w:cs="Arial"/>
          <w:b/>
          <w:sz w:val="20"/>
        </w:rPr>
      </w:pPr>
    </w:p>
    <w:p w:rsidR="00B14504" w:rsidRPr="00B14504" w:rsidRDefault="00B14504" w:rsidP="00B14504">
      <w:pPr>
        <w:jc w:val="both"/>
        <w:rPr>
          <w:rFonts w:cs="Arial"/>
          <w:b/>
          <w:sz w:val="20"/>
        </w:rPr>
      </w:pPr>
      <w:r w:rsidRPr="00B14504">
        <w:rPr>
          <w:rFonts w:cs="Arial"/>
          <w:b/>
          <w:sz w:val="20"/>
        </w:rPr>
        <w:t>Sandvik Tools</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The DT1130i is using the Sandvik Alpha 330 rock tool system, a drill string rod and bit combination that has been designed specifically for high-power 45 mm drilling.</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 xml:space="preserve">The hole depth varies according to the hardness of the rock: for Type 1, the holes are a depth of 2.5 m, for Type 2 the depth is 2 m, for Type 3 it is 1.5 m, for Type 4 it is 1.2 m, and for Type 5 it is 1 m. </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Rig operator Sang-ho Kim says that with all three booms working simultaneously, drilling the required number of holes in even the hardest section of rock takes only about 1.5 hours.</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 xml:space="preserve">He continues, “ The DT1130i is a really different jumbo, with 15 years of operating experience l have found that it  produces far less overbreak than any other rig  due to the  accuracy of positioning the booms and its iSURE automatic control programme. It’s also very easy to operate – it is a totally new design of jumbo drill.”    </w:t>
      </w:r>
    </w:p>
    <w:p w:rsidR="00B14504" w:rsidRPr="00B14504" w:rsidRDefault="00B14504" w:rsidP="00B14504">
      <w:pPr>
        <w:jc w:val="both"/>
        <w:rPr>
          <w:rFonts w:cs="Arial"/>
          <w:sz w:val="20"/>
        </w:rPr>
      </w:pPr>
      <w:r w:rsidRPr="00B14504">
        <w:rPr>
          <w:rFonts w:cs="Arial"/>
          <w:sz w:val="20"/>
        </w:rPr>
        <w:t xml:space="preserve">Blasting is being carried out a total of six times per 24 hours during the summer months, while during the winter season it is expected to be decreased to four or five times per day. </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Rock bolting is also being carried out, with three or four supports for the Types 1 and 2 rock, and up to 35 holes needed for the supporting bolts in the softer ground. The tunnel walls are being shotcreted.</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In accordance with Taeah policy, each of the Sandvik bits is being sharpened four times before being replaced, a service that is provided by Sandvik Suhjun at the company’s own workshops.</w:t>
      </w:r>
    </w:p>
    <w:p w:rsidR="00B14504" w:rsidRPr="00B14504" w:rsidRDefault="00B14504" w:rsidP="00B14504">
      <w:pPr>
        <w:rPr>
          <w:rFonts w:cs="Arial"/>
          <w:sz w:val="20"/>
        </w:rPr>
      </w:pPr>
    </w:p>
    <w:p w:rsidR="00B14504" w:rsidRPr="00B14504" w:rsidRDefault="00B14504" w:rsidP="00B14504">
      <w:pPr>
        <w:jc w:val="both"/>
        <w:rPr>
          <w:rFonts w:cs="Arial"/>
          <w:sz w:val="20"/>
        </w:rPr>
      </w:pPr>
      <w:r w:rsidRPr="00B14504">
        <w:rPr>
          <w:rFonts w:cs="Arial"/>
          <w:sz w:val="20"/>
        </w:rPr>
        <w:t>Mr Kim says that to date, Taeah has been using 130 drill bits per month, each of them undergoing four sharpenings.</w:t>
      </w:r>
    </w:p>
    <w:p w:rsidR="00B14504" w:rsidRPr="00B14504" w:rsidRDefault="00B14504" w:rsidP="00B14504">
      <w:pPr>
        <w:jc w:val="both"/>
        <w:rPr>
          <w:rFonts w:cs="Arial"/>
          <w:sz w:val="20"/>
        </w:rPr>
      </w:pPr>
    </w:p>
    <w:p w:rsidR="00B14504" w:rsidRPr="00B14504" w:rsidRDefault="00B14504" w:rsidP="00B14504">
      <w:pPr>
        <w:jc w:val="both"/>
        <w:rPr>
          <w:rFonts w:cs="Arial"/>
          <w:sz w:val="20"/>
        </w:rPr>
      </w:pPr>
      <w:r w:rsidRPr="00B14504">
        <w:rPr>
          <w:rFonts w:cs="Arial"/>
          <w:sz w:val="20"/>
        </w:rPr>
        <w:t>Taeah Construction has a tight team on the project, with only 10 engineers and 50 workers employed on the site.</w:t>
      </w:r>
    </w:p>
    <w:p w:rsidR="00B14504" w:rsidRPr="00B14504" w:rsidRDefault="00B14504" w:rsidP="00B14504">
      <w:pPr>
        <w:jc w:val="both"/>
        <w:rPr>
          <w:rFonts w:cs="Arial"/>
          <w:sz w:val="20"/>
        </w:rPr>
      </w:pPr>
    </w:p>
    <w:p w:rsidR="00B14504" w:rsidRPr="006A61F9" w:rsidRDefault="00B14504" w:rsidP="00B14504">
      <w:pPr>
        <w:jc w:val="both"/>
        <w:rPr>
          <w:rFonts w:cs="Arial"/>
          <w:szCs w:val="24"/>
        </w:rPr>
      </w:pPr>
      <w:r w:rsidRPr="00B14504">
        <w:rPr>
          <w:rFonts w:cs="Arial"/>
          <w:sz w:val="20"/>
        </w:rPr>
        <w:lastRenderedPageBreak/>
        <w:t>The contract is being carried out for Kangnam Beltway Ltd and is due for completion on 20 May 2013</w:t>
      </w:r>
      <w:r w:rsidRPr="006A61F9">
        <w:rPr>
          <w:rFonts w:cs="Arial"/>
          <w:szCs w:val="24"/>
        </w:rPr>
        <w:t>.</w:t>
      </w:r>
    </w:p>
    <w:p w:rsidR="00B14504" w:rsidRDefault="00B14504" w:rsidP="00C46950">
      <w:pPr>
        <w:pStyle w:val="CM4"/>
        <w:rPr>
          <w:rFonts w:ascii="Times New Roman" w:hAnsi="Times New Roman"/>
          <w:b/>
          <w:sz w:val="22"/>
          <w:szCs w:val="22"/>
        </w:rPr>
      </w:pPr>
    </w:p>
    <w:p w:rsidR="00C46950" w:rsidRDefault="00554DF2" w:rsidP="00C46950">
      <w:pPr>
        <w:pStyle w:val="CM4"/>
        <w:rPr>
          <w:rFonts w:ascii="Times New Roman" w:hAnsi="Times New Roman"/>
          <w:b/>
          <w:sz w:val="22"/>
          <w:szCs w:val="22"/>
        </w:rPr>
      </w:pPr>
      <w:r w:rsidRPr="008B7D5E">
        <w:rPr>
          <w:rFonts w:ascii="Times New Roman" w:hAnsi="Times New Roman"/>
          <w:b/>
          <w:sz w:val="22"/>
          <w:szCs w:val="22"/>
        </w:rPr>
        <w:t>F</w:t>
      </w:r>
      <w:r w:rsidR="009A57A3" w:rsidRPr="008B7D5E">
        <w:rPr>
          <w:rFonts w:ascii="Times New Roman" w:hAnsi="Times New Roman"/>
          <w:b/>
          <w:sz w:val="22"/>
          <w:szCs w:val="22"/>
        </w:rPr>
        <w:t>or further information, please contact:</w:t>
      </w:r>
    </w:p>
    <w:p w:rsidR="009A57A3" w:rsidRPr="00C46950" w:rsidRDefault="009A57A3" w:rsidP="00C46950">
      <w:pPr>
        <w:pStyle w:val="CM4"/>
        <w:spacing w:after="0"/>
        <w:rPr>
          <w:rFonts w:ascii="Arial" w:hAnsi="Arial" w:cs="Arial"/>
          <w:sz w:val="20"/>
          <w:szCs w:val="20"/>
        </w:rPr>
      </w:pPr>
      <w:r w:rsidRPr="00C46950">
        <w:rPr>
          <w:rFonts w:ascii="Arial" w:hAnsi="Arial" w:cs="Arial"/>
          <w:sz w:val="20"/>
          <w:szCs w:val="20"/>
        </w:rPr>
        <w:t xml:space="preserve">Nina Lehtonen, </w:t>
      </w:r>
      <w:r w:rsidR="00DE5B34" w:rsidRPr="00C46950">
        <w:rPr>
          <w:rFonts w:ascii="Arial" w:hAnsi="Arial" w:cs="Arial"/>
          <w:sz w:val="20"/>
          <w:szCs w:val="20"/>
        </w:rPr>
        <w:t>Marketing Communication</w:t>
      </w:r>
      <w:r w:rsidR="006E1B9E" w:rsidRPr="00C46950">
        <w:rPr>
          <w:rFonts w:ascii="Arial" w:hAnsi="Arial" w:cs="Arial"/>
          <w:sz w:val="20"/>
          <w:szCs w:val="20"/>
        </w:rPr>
        <w:t>s,</w:t>
      </w:r>
      <w:r w:rsidR="00DE5B34" w:rsidRPr="00C46950">
        <w:rPr>
          <w:rFonts w:ascii="Arial" w:hAnsi="Arial" w:cs="Arial"/>
          <w:sz w:val="20"/>
          <w:szCs w:val="20"/>
        </w:rPr>
        <w:t xml:space="preserve"> </w:t>
      </w:r>
      <w:r w:rsidRPr="00C46950">
        <w:rPr>
          <w:rFonts w:ascii="Arial" w:hAnsi="Arial" w:cs="Arial"/>
          <w:sz w:val="20"/>
          <w:szCs w:val="20"/>
        </w:rPr>
        <w:t xml:space="preserve">Sandvik </w:t>
      </w:r>
      <w:r w:rsidR="00EE2AD9" w:rsidRPr="00C46950">
        <w:rPr>
          <w:rFonts w:ascii="Arial" w:hAnsi="Arial" w:cs="Arial"/>
          <w:sz w:val="20"/>
          <w:szCs w:val="20"/>
        </w:rPr>
        <w:t>Mining and Construction Oy</w:t>
      </w:r>
    </w:p>
    <w:p w:rsidR="009A57A3" w:rsidRDefault="009A57A3" w:rsidP="00C46950">
      <w:pPr>
        <w:pBdr>
          <w:bottom w:val="single" w:sz="6" w:space="1" w:color="auto"/>
        </w:pBdr>
        <w:rPr>
          <w:rFonts w:cs="Arial"/>
          <w:sz w:val="20"/>
        </w:rPr>
      </w:pPr>
      <w:r w:rsidRPr="00F31F02">
        <w:rPr>
          <w:rFonts w:cs="Arial"/>
          <w:sz w:val="20"/>
        </w:rPr>
        <w:t xml:space="preserve">Tel. +358 205 44 4059 </w:t>
      </w:r>
      <w:r w:rsidRPr="00F31F02">
        <w:rPr>
          <w:rFonts w:cs="Arial"/>
          <w:sz w:val="20"/>
        </w:rPr>
        <w:tab/>
        <w:t>E-mail: nina.lehtonen@sandvik.com</w:t>
      </w:r>
      <w:bookmarkEnd w:id="0"/>
      <w:r w:rsidRPr="00F31F02">
        <w:rPr>
          <w:rFonts w:cs="Arial"/>
          <w:sz w:val="20"/>
        </w:rPr>
        <w:t xml:space="preserve"> </w:t>
      </w:r>
    </w:p>
    <w:p w:rsidR="00300926" w:rsidRDefault="00300926" w:rsidP="00300926">
      <w:pPr>
        <w:autoSpaceDE w:val="0"/>
        <w:autoSpaceDN w:val="0"/>
        <w:adjustRightInd w:val="0"/>
        <w:rPr>
          <w:rFonts w:cs="Arial"/>
          <w:sz w:val="20"/>
        </w:rPr>
      </w:pPr>
    </w:p>
    <w:p w:rsidR="00300926" w:rsidRDefault="00300926" w:rsidP="00300926">
      <w:pPr>
        <w:autoSpaceDE w:val="0"/>
        <w:autoSpaceDN w:val="0"/>
        <w:adjustRightInd w:val="0"/>
        <w:rPr>
          <w:rFonts w:cs="Arial"/>
          <w:sz w:val="20"/>
        </w:rPr>
      </w:pPr>
      <w:r w:rsidRPr="00B3008F">
        <w:rPr>
          <w:rFonts w:cs="Arial"/>
          <w:sz w:val="20"/>
        </w:rPr>
        <w:t>Sandvik is a global industrial group with advanced products and world-leading positions in selected areas – tools for metal cutting, equipment and tools for the mining and construction industries, stainless materials, special alloys, metallic and ceramic resistance materials as well as process systems. In 2010 the Group had about 47,000 employees and representation in 130 countries, with annual sales of nearly SEK 83,000 M.</w:t>
      </w:r>
    </w:p>
    <w:p w:rsidR="00300926" w:rsidRDefault="00300926" w:rsidP="00300926">
      <w:pPr>
        <w:autoSpaceDE w:val="0"/>
        <w:autoSpaceDN w:val="0"/>
        <w:adjustRightInd w:val="0"/>
        <w:rPr>
          <w:rFonts w:cs="Arial"/>
          <w:sz w:val="20"/>
        </w:rPr>
      </w:pPr>
    </w:p>
    <w:p w:rsidR="009A57A3" w:rsidRPr="00F31F02" w:rsidRDefault="00300926" w:rsidP="00C46950">
      <w:pPr>
        <w:autoSpaceDE w:val="0"/>
        <w:autoSpaceDN w:val="0"/>
        <w:adjustRightInd w:val="0"/>
        <w:rPr>
          <w:rFonts w:ascii="Verdana" w:hAnsi="Verdana"/>
          <w:b/>
          <w:sz w:val="20"/>
        </w:rPr>
      </w:pPr>
      <w:r w:rsidRPr="00AA604D">
        <w:rPr>
          <w:rFonts w:cs="Arial"/>
          <w:sz w:val="20"/>
        </w:rPr>
        <w:t>Sandvik Mining and Construction is a business area within the Sandvik Group and a leading global supplier of equipment, cemented-carbide tools, service and technical solutions for the excavation and sizing of rock and minerals in the mining and construction industries. Annual sales 2010 amounted to about SEK 35,200 M, with approximately 15,500 employees.</w:t>
      </w:r>
    </w:p>
    <w:sectPr w:rsidR="009A57A3" w:rsidRPr="00F31F02" w:rsidSect="000471D6">
      <w:headerReference w:type="default" r:id="rId9"/>
      <w:footerReference w:type="default" r:id="rId10"/>
      <w:pgSz w:w="11906" w:h="16838" w:code="9"/>
      <w:pgMar w:top="851" w:right="737" w:bottom="788" w:left="113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49" w:rsidRDefault="00643349">
      <w:r>
        <w:separator/>
      </w:r>
    </w:p>
  </w:endnote>
  <w:endnote w:type="continuationSeparator" w:id="0">
    <w:p w:rsidR="00643349" w:rsidRDefault="0064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top w:val="single" w:sz="4" w:space="0" w:color="auto"/>
      </w:tblBorders>
      <w:tblLayout w:type="fixed"/>
      <w:tblLook w:val="0000" w:firstRow="0" w:lastRow="0" w:firstColumn="0" w:lastColumn="0" w:noHBand="0" w:noVBand="0"/>
    </w:tblPr>
    <w:tblGrid>
      <w:gridCol w:w="2781"/>
      <w:gridCol w:w="2605"/>
      <w:gridCol w:w="2411"/>
      <w:gridCol w:w="2799"/>
    </w:tblGrid>
    <w:tr w:rsidR="000416D8">
      <w:trPr>
        <w:cantSplit/>
        <w:trHeight w:hRule="exact" w:val="200"/>
      </w:trPr>
      <w:tc>
        <w:tcPr>
          <w:tcW w:w="2781" w:type="dxa"/>
          <w:tcBorders>
            <w:bottom w:val="nil"/>
          </w:tcBorders>
        </w:tcPr>
        <w:p w:rsidR="000416D8" w:rsidRDefault="000416D8">
          <w:pPr>
            <w:pStyle w:val="Footer"/>
            <w:rPr>
              <w:rFonts w:ascii="Verdana" w:hAnsi="Verdana"/>
              <w:sz w:val="14"/>
              <w:lang w:val="fi-FI"/>
            </w:rPr>
          </w:pPr>
          <w:r>
            <w:rPr>
              <w:rFonts w:ascii="Verdana" w:hAnsi="Verdana"/>
              <w:sz w:val="14"/>
              <w:lang w:val="fi-FI"/>
            </w:rPr>
            <w:t>Postal address:</w:t>
          </w:r>
        </w:p>
      </w:tc>
      <w:tc>
        <w:tcPr>
          <w:tcW w:w="2605" w:type="dxa"/>
        </w:tcPr>
        <w:p w:rsidR="000416D8" w:rsidRDefault="000416D8">
          <w:pPr>
            <w:pStyle w:val="Footer"/>
            <w:rPr>
              <w:rFonts w:ascii="Verdana" w:hAnsi="Verdana"/>
              <w:sz w:val="14"/>
              <w:lang w:val="fi-FI"/>
            </w:rPr>
          </w:pPr>
        </w:p>
      </w:tc>
      <w:tc>
        <w:tcPr>
          <w:tcW w:w="2411" w:type="dxa"/>
        </w:tcPr>
        <w:p w:rsidR="000416D8" w:rsidRDefault="000416D8">
          <w:pPr>
            <w:pStyle w:val="Footer"/>
            <w:rPr>
              <w:rFonts w:ascii="Verdana" w:hAnsi="Verdana"/>
              <w:sz w:val="14"/>
              <w:lang w:val="fi-FI"/>
            </w:rPr>
          </w:pPr>
          <w:r>
            <w:rPr>
              <w:rFonts w:ascii="Verdana" w:hAnsi="Verdana"/>
              <w:sz w:val="14"/>
              <w:lang w:val="fi-FI"/>
            </w:rPr>
            <w:t>Telephone</w:t>
          </w:r>
        </w:p>
      </w:tc>
      <w:tc>
        <w:tcPr>
          <w:tcW w:w="2799" w:type="dxa"/>
        </w:tcPr>
        <w:p w:rsidR="000416D8" w:rsidRDefault="000416D8">
          <w:pPr>
            <w:pStyle w:val="Footer"/>
            <w:rPr>
              <w:rFonts w:ascii="Verdana" w:hAnsi="Verdana"/>
              <w:sz w:val="14"/>
            </w:rPr>
          </w:pPr>
          <w:r>
            <w:rPr>
              <w:rFonts w:ascii="Verdana" w:hAnsi="Verdana"/>
              <w:sz w:val="14"/>
            </w:rPr>
            <w:t>Telefax</w:t>
          </w:r>
        </w:p>
      </w:tc>
    </w:tr>
    <w:tr w:rsidR="000416D8">
      <w:trPr>
        <w:trHeight w:hRule="exact" w:val="1000"/>
      </w:trPr>
      <w:tc>
        <w:tcPr>
          <w:tcW w:w="2781" w:type="dxa"/>
          <w:vAlign w:val="bottom"/>
        </w:tcPr>
        <w:p w:rsidR="000416D8" w:rsidRPr="00AE6523" w:rsidRDefault="000416D8" w:rsidP="00836D5A">
          <w:pPr>
            <w:pStyle w:val="Footer"/>
            <w:rPr>
              <w:rFonts w:ascii="Verdana" w:hAnsi="Verdana"/>
            </w:rPr>
          </w:pPr>
          <w:r w:rsidRPr="00AE6523">
            <w:rPr>
              <w:rFonts w:ascii="Verdana" w:hAnsi="Verdana"/>
            </w:rPr>
            <w:t>Sandvik Mining and Construction Oy</w:t>
          </w:r>
        </w:p>
        <w:p w:rsidR="000416D8" w:rsidRPr="00AE6523" w:rsidRDefault="000416D8" w:rsidP="00836D5A">
          <w:pPr>
            <w:pStyle w:val="Footer"/>
            <w:rPr>
              <w:rFonts w:ascii="Verdana" w:hAnsi="Verdana"/>
            </w:rPr>
          </w:pPr>
          <w:smartTag w:uri="urn:schemas-microsoft-com:office:smarttags" w:element="address">
            <w:smartTag w:uri="urn:schemas-microsoft-com:office:smarttags" w:element="Street">
              <w:r w:rsidRPr="00AE6523">
                <w:rPr>
                  <w:rFonts w:ascii="Verdana" w:hAnsi="Verdana"/>
                </w:rPr>
                <w:t>P.O. Box</w:t>
              </w:r>
            </w:smartTag>
            <w:r w:rsidRPr="00AE6523">
              <w:rPr>
                <w:rFonts w:ascii="Verdana" w:hAnsi="Verdana"/>
              </w:rPr>
              <w:t xml:space="preserve"> 100</w:t>
            </w:r>
          </w:smartTag>
          <w:r w:rsidRPr="00AE6523">
            <w:rPr>
              <w:rFonts w:ascii="Verdana" w:hAnsi="Verdana"/>
            </w:rPr>
            <w:t>, Pihtisulunkatu 9,</w:t>
          </w:r>
        </w:p>
        <w:p w:rsidR="000416D8" w:rsidRDefault="000416D8" w:rsidP="00836D5A">
          <w:pPr>
            <w:pStyle w:val="Footer"/>
            <w:rPr>
              <w:rFonts w:ascii="Verdana" w:hAnsi="Verdana"/>
              <w:lang w:val="fi-FI"/>
            </w:rPr>
          </w:pPr>
          <w:r>
            <w:rPr>
              <w:rFonts w:ascii="Verdana" w:hAnsi="Verdana"/>
              <w:lang w:val="fi-FI"/>
            </w:rPr>
            <w:t>33311 TAMPERE, Finland</w:t>
          </w:r>
        </w:p>
        <w:p w:rsidR="000416D8" w:rsidRDefault="000416D8">
          <w:pPr>
            <w:pStyle w:val="Footer"/>
            <w:rPr>
              <w:sz w:val="10"/>
              <w:lang w:val="fi-FI"/>
            </w:rPr>
          </w:pPr>
        </w:p>
      </w:tc>
      <w:tc>
        <w:tcPr>
          <w:tcW w:w="2605" w:type="dxa"/>
          <w:vAlign w:val="bottom"/>
        </w:tcPr>
        <w:p w:rsidR="000416D8" w:rsidRDefault="000416D8">
          <w:pPr>
            <w:pStyle w:val="Footer"/>
            <w:rPr>
              <w:rFonts w:ascii="Verdana" w:hAnsi="Verdana"/>
              <w:lang w:val="fi-FI"/>
            </w:rPr>
          </w:pPr>
        </w:p>
        <w:p w:rsidR="000416D8" w:rsidRDefault="000416D8">
          <w:pPr>
            <w:pStyle w:val="Footer"/>
            <w:rPr>
              <w:rFonts w:ascii="Verdana" w:hAnsi="Verdana"/>
              <w:lang w:val="fi-FI"/>
            </w:rPr>
          </w:pPr>
        </w:p>
        <w:p w:rsidR="000416D8" w:rsidRDefault="000416D8">
          <w:pPr>
            <w:pStyle w:val="Footer"/>
            <w:rPr>
              <w:sz w:val="10"/>
              <w:lang w:val="fi-FI"/>
            </w:rPr>
          </w:pPr>
          <w:r>
            <w:rPr>
              <w:rFonts w:ascii="Verdana" w:hAnsi="Verdana"/>
              <w:lang w:val="fi-FI"/>
            </w:rPr>
            <w:t>www.sandvik.com</w:t>
          </w:r>
        </w:p>
      </w:tc>
      <w:tc>
        <w:tcPr>
          <w:tcW w:w="2411" w:type="dxa"/>
          <w:vAlign w:val="bottom"/>
        </w:tcPr>
        <w:p w:rsidR="000416D8" w:rsidRDefault="000416D8">
          <w:pPr>
            <w:pStyle w:val="Footer"/>
            <w:rPr>
              <w:rFonts w:ascii="Verdana" w:hAnsi="Verdana"/>
              <w:lang w:val="fi-FI"/>
            </w:rPr>
          </w:pPr>
          <w:r>
            <w:rPr>
              <w:rFonts w:ascii="Verdana" w:hAnsi="Verdana"/>
              <w:lang w:val="fi-FI"/>
            </w:rPr>
            <w:t>+358 205 44 121</w:t>
          </w:r>
        </w:p>
      </w:tc>
      <w:tc>
        <w:tcPr>
          <w:tcW w:w="2799" w:type="dxa"/>
          <w:vAlign w:val="bottom"/>
        </w:tcPr>
        <w:p w:rsidR="000416D8" w:rsidRDefault="000416D8">
          <w:pPr>
            <w:pStyle w:val="Footer"/>
            <w:rPr>
              <w:rFonts w:ascii="Verdana" w:hAnsi="Verdana"/>
              <w:lang w:val="fi-FI"/>
            </w:rPr>
          </w:pPr>
          <w:r>
            <w:rPr>
              <w:rFonts w:ascii="Verdana" w:hAnsi="Verdana"/>
              <w:lang w:val="fi-FI"/>
            </w:rPr>
            <w:t>+358 205 44 120</w:t>
          </w:r>
        </w:p>
      </w:tc>
    </w:tr>
    <w:tr w:rsidR="000416D8">
      <w:trPr>
        <w:trHeight w:hRule="exact" w:val="160"/>
      </w:trPr>
      <w:tc>
        <w:tcPr>
          <w:tcW w:w="2781" w:type="dxa"/>
        </w:tcPr>
        <w:p w:rsidR="000416D8" w:rsidRDefault="000416D8">
          <w:pPr>
            <w:pStyle w:val="Footer"/>
            <w:rPr>
              <w:sz w:val="10"/>
              <w:lang w:val="fi-FI"/>
            </w:rPr>
          </w:pPr>
        </w:p>
      </w:tc>
      <w:tc>
        <w:tcPr>
          <w:tcW w:w="2605" w:type="dxa"/>
        </w:tcPr>
        <w:p w:rsidR="000416D8" w:rsidRDefault="000416D8">
          <w:pPr>
            <w:pStyle w:val="Footer"/>
            <w:rPr>
              <w:sz w:val="10"/>
              <w:lang w:val="fi-FI"/>
            </w:rPr>
          </w:pPr>
        </w:p>
      </w:tc>
      <w:tc>
        <w:tcPr>
          <w:tcW w:w="2411" w:type="dxa"/>
        </w:tcPr>
        <w:p w:rsidR="000416D8" w:rsidRDefault="000416D8">
          <w:pPr>
            <w:pStyle w:val="Footer"/>
            <w:rPr>
              <w:sz w:val="10"/>
              <w:lang w:val="fi-FI"/>
            </w:rPr>
          </w:pPr>
        </w:p>
      </w:tc>
      <w:tc>
        <w:tcPr>
          <w:tcW w:w="2799" w:type="dxa"/>
        </w:tcPr>
        <w:p w:rsidR="000416D8" w:rsidRDefault="000416D8">
          <w:pPr>
            <w:pStyle w:val="Footer"/>
            <w:rPr>
              <w:sz w:val="10"/>
              <w:lang w:val="fi-FI"/>
            </w:rPr>
          </w:pPr>
        </w:p>
      </w:tc>
    </w:tr>
  </w:tbl>
  <w:p w:rsidR="000416D8" w:rsidRDefault="0004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49" w:rsidRDefault="00643349">
      <w:r>
        <w:separator/>
      </w:r>
    </w:p>
  </w:footnote>
  <w:footnote w:type="continuationSeparator" w:id="0">
    <w:p w:rsidR="00643349" w:rsidRDefault="0064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2"/>
      <w:gridCol w:w="2583"/>
      <w:gridCol w:w="13"/>
      <w:gridCol w:w="1720"/>
      <w:gridCol w:w="850"/>
    </w:tblGrid>
    <w:tr w:rsidR="000416D8">
      <w:tc>
        <w:tcPr>
          <w:tcW w:w="5182" w:type="dxa"/>
        </w:tcPr>
        <w:p w:rsidR="000416D8" w:rsidRDefault="008B05D2">
          <w:pPr>
            <w:pStyle w:val="Header"/>
          </w:pPr>
          <w:r>
            <w:rPr>
              <w:noProof/>
              <w:lang w:val="en-GB" w:eastAsia="en-GB"/>
            </w:rPr>
            <w:drawing>
              <wp:inline distT="0" distB="0" distL="0" distR="0" wp14:anchorId="67E8FEF3" wp14:editId="70898FCF">
                <wp:extent cx="1266825" cy="466725"/>
                <wp:effectExtent l="19050" t="0" r="9525" b="0"/>
                <wp:docPr id="1" name="Picture 1" descr="sandvik pre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vik pressari"/>
                        <pic:cNvPicPr>
                          <a:picLocks noChangeAspect="1" noChangeArrowheads="1"/>
                        </pic:cNvPicPr>
                      </pic:nvPicPr>
                      <pic:blipFill>
                        <a:blip r:embed="rId1"/>
                        <a:srcRect/>
                        <a:stretch>
                          <a:fillRect/>
                        </a:stretch>
                      </pic:blipFill>
                      <pic:spPr bwMode="auto">
                        <a:xfrm>
                          <a:off x="0" y="0"/>
                          <a:ext cx="1266825" cy="466725"/>
                        </a:xfrm>
                        <a:prstGeom prst="rect">
                          <a:avLst/>
                        </a:prstGeom>
                        <a:noFill/>
                        <a:ln w="9525">
                          <a:noFill/>
                          <a:miter lim="800000"/>
                          <a:headEnd/>
                          <a:tailEnd/>
                        </a:ln>
                      </pic:spPr>
                    </pic:pic>
                  </a:graphicData>
                </a:graphic>
              </wp:inline>
            </w:drawing>
          </w:r>
        </w:p>
      </w:tc>
      <w:tc>
        <w:tcPr>
          <w:tcW w:w="5166" w:type="dxa"/>
          <w:gridSpan w:val="4"/>
        </w:tcPr>
        <w:p w:rsidR="000416D8" w:rsidRDefault="000416D8">
          <w:pPr>
            <w:pStyle w:val="Header"/>
            <w:jc w:val="right"/>
          </w:pPr>
        </w:p>
      </w:tc>
    </w:tr>
    <w:tr w:rsidR="000416D8">
      <w:trPr>
        <w:cantSplit/>
      </w:trPr>
      <w:tc>
        <w:tcPr>
          <w:tcW w:w="5182" w:type="dxa"/>
          <w:tcBorders>
            <w:bottom w:val="single" w:sz="4" w:space="0" w:color="auto"/>
          </w:tcBorders>
        </w:tcPr>
        <w:p w:rsidR="000416D8" w:rsidRDefault="000416D8">
          <w:pPr>
            <w:pStyle w:val="Header"/>
          </w:pPr>
        </w:p>
      </w:tc>
      <w:tc>
        <w:tcPr>
          <w:tcW w:w="2583" w:type="dxa"/>
          <w:tcBorders>
            <w:bottom w:val="single" w:sz="4" w:space="0" w:color="auto"/>
          </w:tcBorders>
        </w:tcPr>
        <w:p w:rsidR="000416D8" w:rsidRDefault="000416D8">
          <w:pPr>
            <w:pStyle w:val="Header"/>
            <w:rPr>
              <w:rFonts w:ascii="Verdana" w:hAnsi="Verdana"/>
              <w:sz w:val="32"/>
            </w:rPr>
          </w:pPr>
        </w:p>
      </w:tc>
      <w:tc>
        <w:tcPr>
          <w:tcW w:w="2583" w:type="dxa"/>
          <w:gridSpan w:val="3"/>
          <w:tcBorders>
            <w:bottom w:val="single" w:sz="4" w:space="0" w:color="auto"/>
          </w:tcBorders>
        </w:tcPr>
        <w:p w:rsidR="000416D8" w:rsidRDefault="000416D8">
          <w:pPr>
            <w:pStyle w:val="Header"/>
            <w:jc w:val="right"/>
            <w:rPr>
              <w:sz w:val="32"/>
            </w:rPr>
          </w:pPr>
        </w:p>
      </w:tc>
    </w:tr>
    <w:tr w:rsidR="000416D8">
      <w:tc>
        <w:tcPr>
          <w:tcW w:w="5182" w:type="dxa"/>
          <w:tcBorders>
            <w:top w:val="single" w:sz="4" w:space="0" w:color="auto"/>
          </w:tcBorders>
        </w:tcPr>
        <w:p w:rsidR="000416D8" w:rsidRDefault="000416D8">
          <w:pPr>
            <w:pStyle w:val="Header"/>
            <w:rPr>
              <w:rFonts w:ascii="Verdana" w:hAnsi="Verdana"/>
            </w:rPr>
          </w:pPr>
        </w:p>
      </w:tc>
      <w:tc>
        <w:tcPr>
          <w:tcW w:w="2596" w:type="dxa"/>
          <w:gridSpan w:val="2"/>
          <w:tcBorders>
            <w:top w:val="single" w:sz="4" w:space="0" w:color="auto"/>
          </w:tcBorders>
          <w:vAlign w:val="bottom"/>
        </w:tcPr>
        <w:p w:rsidR="000416D8" w:rsidRDefault="00747CAF">
          <w:pPr>
            <w:pStyle w:val="Header"/>
            <w:rPr>
              <w:rFonts w:ascii="Verdana" w:hAnsi="Verdana"/>
            </w:rPr>
          </w:pPr>
          <w:r>
            <w:rPr>
              <w:rFonts w:ascii="Verdana" w:hAnsi="Verdana"/>
            </w:rPr>
            <w:t>Case Story</w:t>
          </w:r>
        </w:p>
      </w:tc>
      <w:tc>
        <w:tcPr>
          <w:tcW w:w="1720" w:type="dxa"/>
          <w:tcBorders>
            <w:top w:val="single" w:sz="4" w:space="0" w:color="auto"/>
          </w:tcBorders>
          <w:vAlign w:val="bottom"/>
        </w:tcPr>
        <w:p w:rsidR="000416D8" w:rsidRDefault="000416D8" w:rsidP="009D7276">
          <w:pPr>
            <w:pStyle w:val="Header"/>
            <w:jc w:val="center"/>
            <w:rPr>
              <w:rFonts w:ascii="Verdana" w:hAnsi="Verdana"/>
            </w:rPr>
          </w:pPr>
        </w:p>
      </w:tc>
      <w:tc>
        <w:tcPr>
          <w:tcW w:w="850" w:type="dxa"/>
          <w:tcBorders>
            <w:top w:val="single" w:sz="4" w:space="0" w:color="auto"/>
          </w:tcBorders>
          <w:vAlign w:val="bottom"/>
        </w:tcPr>
        <w:p w:rsidR="000416D8" w:rsidRDefault="00BA6DEA">
          <w:pPr>
            <w:pStyle w:val="Header"/>
            <w:jc w:val="right"/>
            <w:rPr>
              <w:rFonts w:ascii="Verdana" w:hAnsi="Verdana"/>
            </w:rPr>
          </w:pPr>
          <w:r>
            <w:rPr>
              <w:rStyle w:val="PageNumber"/>
              <w:rFonts w:ascii="Verdana" w:hAnsi="Verdana"/>
            </w:rPr>
            <w:fldChar w:fldCharType="begin"/>
          </w:r>
          <w:r w:rsidR="000416D8">
            <w:rPr>
              <w:rStyle w:val="PageNumber"/>
              <w:rFonts w:ascii="Verdana" w:hAnsi="Verdana"/>
            </w:rPr>
            <w:instrText xml:space="preserve"> PAGE </w:instrText>
          </w:r>
          <w:r>
            <w:rPr>
              <w:rStyle w:val="PageNumber"/>
              <w:rFonts w:ascii="Verdana" w:hAnsi="Verdana"/>
            </w:rPr>
            <w:fldChar w:fldCharType="separate"/>
          </w:r>
          <w:r w:rsidR="00665DF9">
            <w:rPr>
              <w:rStyle w:val="PageNumber"/>
              <w:rFonts w:ascii="Verdana" w:hAnsi="Verdana"/>
              <w:noProof/>
            </w:rPr>
            <w:t>1</w:t>
          </w:r>
          <w:r>
            <w:rPr>
              <w:rStyle w:val="PageNumber"/>
              <w:rFonts w:ascii="Verdana" w:hAnsi="Verdana"/>
            </w:rPr>
            <w:fldChar w:fldCharType="end"/>
          </w:r>
          <w:r w:rsidR="000416D8">
            <w:rPr>
              <w:rFonts w:ascii="Verdana" w:hAnsi="Verdana"/>
            </w:rPr>
            <w:t xml:space="preserve"> (2)</w:t>
          </w:r>
        </w:p>
      </w:tc>
    </w:tr>
    <w:tr w:rsidR="000416D8">
      <w:tc>
        <w:tcPr>
          <w:tcW w:w="5182" w:type="dxa"/>
        </w:tcPr>
        <w:p w:rsidR="000416D8" w:rsidRDefault="000416D8">
          <w:pPr>
            <w:pStyle w:val="Header"/>
          </w:pPr>
        </w:p>
      </w:tc>
      <w:tc>
        <w:tcPr>
          <w:tcW w:w="2583" w:type="dxa"/>
        </w:tcPr>
        <w:p w:rsidR="000416D8" w:rsidRDefault="000416D8">
          <w:pPr>
            <w:pStyle w:val="Header"/>
          </w:pPr>
        </w:p>
      </w:tc>
      <w:tc>
        <w:tcPr>
          <w:tcW w:w="2583" w:type="dxa"/>
          <w:gridSpan w:val="3"/>
        </w:tcPr>
        <w:p w:rsidR="000416D8" w:rsidRDefault="000416D8">
          <w:pPr>
            <w:pStyle w:val="Header"/>
            <w:jc w:val="right"/>
            <w:rPr>
              <w:rFonts w:ascii="Verdana" w:hAnsi="Verdana"/>
            </w:rPr>
          </w:pPr>
        </w:p>
      </w:tc>
    </w:tr>
  </w:tbl>
  <w:p w:rsidR="000416D8" w:rsidRDefault="00041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F2000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lvlText w:val="%1.%2.%3.%4.%5"/>
      <w:lvlJc w:val="left"/>
      <w:pPr>
        <w:tabs>
          <w:tab w:val="num" w:pos="1080"/>
        </w:tabs>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lvlText w:val="%1.%2.%3.%4.%5.%6.%7.%8"/>
      <w:lvlJc w:val="left"/>
      <w:pPr>
        <w:tabs>
          <w:tab w:val="num" w:pos="1800"/>
        </w:tabs>
        <w:ind w:left="0" w:firstLine="0"/>
      </w:pPr>
    </w:lvl>
    <w:lvl w:ilvl="8">
      <w:start w:val="1"/>
      <w:numFmt w:val="decimal"/>
      <w:pStyle w:val="Heading9"/>
      <w:suff w:val="space"/>
      <w:lvlText w:val="%1.%2.%3.%4.%5.%6.%7.%8.%9"/>
      <w:lvlJc w:val="left"/>
      <w:pPr>
        <w:ind w:left="0" w:firstLine="0"/>
      </w:pPr>
    </w:lvl>
  </w:abstractNum>
  <w:abstractNum w:abstractNumId="1">
    <w:nsid w:val="082C2E79"/>
    <w:multiLevelType w:val="hybridMultilevel"/>
    <w:tmpl w:val="89EE19C2"/>
    <w:lvl w:ilvl="0" w:tplc="A78E8F1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2D161C"/>
    <w:multiLevelType w:val="hybridMultilevel"/>
    <w:tmpl w:val="AC5CE4CE"/>
    <w:lvl w:ilvl="0" w:tplc="61F68A30">
      <w:start w:val="1"/>
      <w:numFmt w:val="bullet"/>
      <w:lvlText w:val=""/>
      <w:lvlJc w:val="left"/>
      <w:pPr>
        <w:tabs>
          <w:tab w:val="num" w:pos="720"/>
        </w:tabs>
        <w:ind w:left="720" w:hanging="360"/>
      </w:pPr>
      <w:rPr>
        <w:rFonts w:ascii="Wingdings 2" w:hAnsi="Wingdings 2" w:hint="default"/>
      </w:rPr>
    </w:lvl>
    <w:lvl w:ilvl="1" w:tplc="F6909C02" w:tentative="1">
      <w:start w:val="1"/>
      <w:numFmt w:val="bullet"/>
      <w:lvlText w:val=""/>
      <w:lvlJc w:val="left"/>
      <w:pPr>
        <w:tabs>
          <w:tab w:val="num" w:pos="1440"/>
        </w:tabs>
        <w:ind w:left="1440" w:hanging="360"/>
      </w:pPr>
      <w:rPr>
        <w:rFonts w:ascii="Wingdings 2" w:hAnsi="Wingdings 2" w:hint="default"/>
      </w:rPr>
    </w:lvl>
    <w:lvl w:ilvl="2" w:tplc="98242CBC" w:tentative="1">
      <w:start w:val="1"/>
      <w:numFmt w:val="bullet"/>
      <w:lvlText w:val=""/>
      <w:lvlJc w:val="left"/>
      <w:pPr>
        <w:tabs>
          <w:tab w:val="num" w:pos="2160"/>
        </w:tabs>
        <w:ind w:left="2160" w:hanging="360"/>
      </w:pPr>
      <w:rPr>
        <w:rFonts w:ascii="Wingdings 2" w:hAnsi="Wingdings 2" w:hint="default"/>
      </w:rPr>
    </w:lvl>
    <w:lvl w:ilvl="3" w:tplc="7F7E6D6E" w:tentative="1">
      <w:start w:val="1"/>
      <w:numFmt w:val="bullet"/>
      <w:lvlText w:val=""/>
      <w:lvlJc w:val="left"/>
      <w:pPr>
        <w:tabs>
          <w:tab w:val="num" w:pos="2880"/>
        </w:tabs>
        <w:ind w:left="2880" w:hanging="360"/>
      </w:pPr>
      <w:rPr>
        <w:rFonts w:ascii="Wingdings 2" w:hAnsi="Wingdings 2" w:hint="default"/>
      </w:rPr>
    </w:lvl>
    <w:lvl w:ilvl="4" w:tplc="A4002F7A" w:tentative="1">
      <w:start w:val="1"/>
      <w:numFmt w:val="bullet"/>
      <w:lvlText w:val=""/>
      <w:lvlJc w:val="left"/>
      <w:pPr>
        <w:tabs>
          <w:tab w:val="num" w:pos="3600"/>
        </w:tabs>
        <w:ind w:left="3600" w:hanging="360"/>
      </w:pPr>
      <w:rPr>
        <w:rFonts w:ascii="Wingdings 2" w:hAnsi="Wingdings 2" w:hint="default"/>
      </w:rPr>
    </w:lvl>
    <w:lvl w:ilvl="5" w:tplc="AC663D92" w:tentative="1">
      <w:start w:val="1"/>
      <w:numFmt w:val="bullet"/>
      <w:lvlText w:val=""/>
      <w:lvlJc w:val="left"/>
      <w:pPr>
        <w:tabs>
          <w:tab w:val="num" w:pos="4320"/>
        </w:tabs>
        <w:ind w:left="4320" w:hanging="360"/>
      </w:pPr>
      <w:rPr>
        <w:rFonts w:ascii="Wingdings 2" w:hAnsi="Wingdings 2" w:hint="default"/>
      </w:rPr>
    </w:lvl>
    <w:lvl w:ilvl="6" w:tplc="7A36D8E4" w:tentative="1">
      <w:start w:val="1"/>
      <w:numFmt w:val="bullet"/>
      <w:lvlText w:val=""/>
      <w:lvlJc w:val="left"/>
      <w:pPr>
        <w:tabs>
          <w:tab w:val="num" w:pos="5040"/>
        </w:tabs>
        <w:ind w:left="5040" w:hanging="360"/>
      </w:pPr>
      <w:rPr>
        <w:rFonts w:ascii="Wingdings 2" w:hAnsi="Wingdings 2" w:hint="default"/>
      </w:rPr>
    </w:lvl>
    <w:lvl w:ilvl="7" w:tplc="3918A978" w:tentative="1">
      <w:start w:val="1"/>
      <w:numFmt w:val="bullet"/>
      <w:lvlText w:val=""/>
      <w:lvlJc w:val="left"/>
      <w:pPr>
        <w:tabs>
          <w:tab w:val="num" w:pos="5760"/>
        </w:tabs>
        <w:ind w:left="5760" w:hanging="360"/>
      </w:pPr>
      <w:rPr>
        <w:rFonts w:ascii="Wingdings 2" w:hAnsi="Wingdings 2" w:hint="default"/>
      </w:rPr>
    </w:lvl>
    <w:lvl w:ilvl="8" w:tplc="08FC2C18" w:tentative="1">
      <w:start w:val="1"/>
      <w:numFmt w:val="bullet"/>
      <w:lvlText w:val=""/>
      <w:lvlJc w:val="left"/>
      <w:pPr>
        <w:tabs>
          <w:tab w:val="num" w:pos="6480"/>
        </w:tabs>
        <w:ind w:left="6480" w:hanging="360"/>
      </w:pPr>
      <w:rPr>
        <w:rFonts w:ascii="Wingdings 2" w:hAnsi="Wingdings 2" w:hint="default"/>
      </w:rPr>
    </w:lvl>
  </w:abstractNum>
  <w:abstractNum w:abstractNumId="3">
    <w:nsid w:val="426C6EBA"/>
    <w:multiLevelType w:val="hybridMultilevel"/>
    <w:tmpl w:val="89262152"/>
    <w:lvl w:ilvl="0" w:tplc="5BB23806">
      <w:start w:val="24"/>
      <w:numFmt w:val="bullet"/>
      <w:lvlText w:val="-"/>
      <w:lvlJc w:val="left"/>
      <w:pPr>
        <w:ind w:left="1665" w:hanging="360"/>
      </w:pPr>
      <w:rPr>
        <w:rFonts w:ascii="Arial" w:eastAsia="Times New Roman" w:hAnsi="Arial" w:cs="Arial" w:hint="default"/>
        <w:b w:val="0"/>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nsid w:val="50F91C04"/>
    <w:multiLevelType w:val="hybridMultilevel"/>
    <w:tmpl w:val="6534E468"/>
    <w:lvl w:ilvl="0" w:tplc="CDC2418E">
      <w:numFmt w:val="bullet"/>
      <w:lvlText w:val="-"/>
      <w:lvlJc w:val="left"/>
      <w:pPr>
        <w:tabs>
          <w:tab w:val="num" w:pos="2783"/>
        </w:tabs>
        <w:ind w:left="2783" w:hanging="1485"/>
      </w:pPr>
      <w:rPr>
        <w:rFonts w:ascii="Arial" w:eastAsia="Times New Roman" w:hAnsi="Arial" w:cs="Arial" w:hint="default"/>
      </w:rPr>
    </w:lvl>
    <w:lvl w:ilvl="1" w:tplc="04090003" w:tentative="1">
      <w:start w:val="1"/>
      <w:numFmt w:val="bullet"/>
      <w:lvlText w:val="o"/>
      <w:lvlJc w:val="left"/>
      <w:pPr>
        <w:tabs>
          <w:tab w:val="num" w:pos="2378"/>
        </w:tabs>
        <w:ind w:left="2378" w:hanging="360"/>
      </w:pPr>
      <w:rPr>
        <w:rFonts w:ascii="Courier New" w:hAnsi="Courier New" w:cs="Courier New" w:hint="default"/>
      </w:rPr>
    </w:lvl>
    <w:lvl w:ilvl="2" w:tplc="04090005" w:tentative="1">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cs="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cs="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5">
    <w:nsid w:val="59974D76"/>
    <w:multiLevelType w:val="hybridMultilevel"/>
    <w:tmpl w:val="8C0406A2"/>
    <w:lvl w:ilvl="0" w:tplc="DC62179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A82B76"/>
    <w:multiLevelType w:val="hybridMultilevel"/>
    <w:tmpl w:val="6D524914"/>
    <w:lvl w:ilvl="0" w:tplc="E9F85F5A">
      <w:start w:val="24"/>
      <w:numFmt w:val="bullet"/>
      <w:lvlText w:val="-"/>
      <w:lvlJc w:val="left"/>
      <w:pPr>
        <w:ind w:left="1636" w:hanging="360"/>
      </w:pPr>
      <w:rPr>
        <w:rFonts w:ascii="Arial" w:eastAsia="Times New Roman" w:hAnsi="Arial" w:cs="Arial" w:hint="default"/>
        <w:b w:val="0"/>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7">
    <w:nsid w:val="72EB6554"/>
    <w:multiLevelType w:val="hybridMultilevel"/>
    <w:tmpl w:val="556C65AC"/>
    <w:lvl w:ilvl="0" w:tplc="40E4F1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3207EA"/>
    <w:multiLevelType w:val="hybridMultilevel"/>
    <w:tmpl w:val="7894479E"/>
    <w:lvl w:ilvl="0" w:tplc="59AA6620">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7"/>
  </w:num>
  <w:num w:numId="38">
    <w:abstractNumId w:val="5"/>
  </w:num>
  <w:num w:numId="39">
    <w:abstractNumId w:val="1"/>
  </w:num>
  <w:num w:numId="40">
    <w:abstractNumId w:val="4"/>
  </w:num>
  <w:num w:numId="41">
    <w:abstractNumId w:val="8"/>
  </w:num>
  <w:num w:numId="42">
    <w:abstractNumId w:val="2"/>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9A"/>
    <w:rsid w:val="00005CCD"/>
    <w:rsid w:val="00024830"/>
    <w:rsid w:val="000416D8"/>
    <w:rsid w:val="0004649C"/>
    <w:rsid w:val="000471D6"/>
    <w:rsid w:val="00062ADA"/>
    <w:rsid w:val="000811CD"/>
    <w:rsid w:val="00083C03"/>
    <w:rsid w:val="000A137D"/>
    <w:rsid w:val="000A13B8"/>
    <w:rsid w:val="000A4FCD"/>
    <w:rsid w:val="000A6089"/>
    <w:rsid w:val="000C6598"/>
    <w:rsid w:val="000D2A1C"/>
    <w:rsid w:val="000E0F75"/>
    <w:rsid w:val="000E1AD6"/>
    <w:rsid w:val="000E6CF1"/>
    <w:rsid w:val="00103B1C"/>
    <w:rsid w:val="001155C9"/>
    <w:rsid w:val="0012264A"/>
    <w:rsid w:val="00166EF5"/>
    <w:rsid w:val="001732A6"/>
    <w:rsid w:val="001825BE"/>
    <w:rsid w:val="00184B01"/>
    <w:rsid w:val="001934FD"/>
    <w:rsid w:val="001C559B"/>
    <w:rsid w:val="001C69FA"/>
    <w:rsid w:val="001D7FD2"/>
    <w:rsid w:val="001F0CE8"/>
    <w:rsid w:val="00206143"/>
    <w:rsid w:val="00210B97"/>
    <w:rsid w:val="00224CC0"/>
    <w:rsid w:val="002319F8"/>
    <w:rsid w:val="0024345E"/>
    <w:rsid w:val="002665E9"/>
    <w:rsid w:val="00284F62"/>
    <w:rsid w:val="002B35A0"/>
    <w:rsid w:val="002C7A0C"/>
    <w:rsid w:val="002E2D60"/>
    <w:rsid w:val="002F7BD3"/>
    <w:rsid w:val="003005EE"/>
    <w:rsid w:val="00300926"/>
    <w:rsid w:val="00324285"/>
    <w:rsid w:val="00331D4D"/>
    <w:rsid w:val="0035021C"/>
    <w:rsid w:val="0035362C"/>
    <w:rsid w:val="00357A51"/>
    <w:rsid w:val="0036663C"/>
    <w:rsid w:val="00386C02"/>
    <w:rsid w:val="003A4848"/>
    <w:rsid w:val="003B652D"/>
    <w:rsid w:val="003C1F2B"/>
    <w:rsid w:val="003E321D"/>
    <w:rsid w:val="004359AC"/>
    <w:rsid w:val="00454E94"/>
    <w:rsid w:val="00463891"/>
    <w:rsid w:val="004877E5"/>
    <w:rsid w:val="004A39A8"/>
    <w:rsid w:val="004A495B"/>
    <w:rsid w:val="004B694E"/>
    <w:rsid w:val="004C00B7"/>
    <w:rsid w:val="004E02C2"/>
    <w:rsid w:val="004F3866"/>
    <w:rsid w:val="00517F15"/>
    <w:rsid w:val="00520976"/>
    <w:rsid w:val="005237FC"/>
    <w:rsid w:val="005304E7"/>
    <w:rsid w:val="0054538E"/>
    <w:rsid w:val="005465C0"/>
    <w:rsid w:val="005503C6"/>
    <w:rsid w:val="005503EC"/>
    <w:rsid w:val="00554945"/>
    <w:rsid w:val="00554DF2"/>
    <w:rsid w:val="005652B5"/>
    <w:rsid w:val="00571B80"/>
    <w:rsid w:val="0057705A"/>
    <w:rsid w:val="00582B62"/>
    <w:rsid w:val="0059113D"/>
    <w:rsid w:val="005B1B18"/>
    <w:rsid w:val="005C31A3"/>
    <w:rsid w:val="005E6E67"/>
    <w:rsid w:val="0060417F"/>
    <w:rsid w:val="0061641F"/>
    <w:rsid w:val="00625E76"/>
    <w:rsid w:val="00635D78"/>
    <w:rsid w:val="00643349"/>
    <w:rsid w:val="00644693"/>
    <w:rsid w:val="00655500"/>
    <w:rsid w:val="006630E2"/>
    <w:rsid w:val="00665DF9"/>
    <w:rsid w:val="00671F63"/>
    <w:rsid w:val="00672016"/>
    <w:rsid w:val="00675177"/>
    <w:rsid w:val="006A6776"/>
    <w:rsid w:val="006B71DC"/>
    <w:rsid w:val="006C76F1"/>
    <w:rsid w:val="006D0E62"/>
    <w:rsid w:val="006D2F54"/>
    <w:rsid w:val="006E0397"/>
    <w:rsid w:val="006E0899"/>
    <w:rsid w:val="006E1B9E"/>
    <w:rsid w:val="006F0BA0"/>
    <w:rsid w:val="006F4A80"/>
    <w:rsid w:val="006F7AB7"/>
    <w:rsid w:val="0070238B"/>
    <w:rsid w:val="00703284"/>
    <w:rsid w:val="00705950"/>
    <w:rsid w:val="00706D7F"/>
    <w:rsid w:val="00725694"/>
    <w:rsid w:val="00737671"/>
    <w:rsid w:val="007455F0"/>
    <w:rsid w:val="00747CAF"/>
    <w:rsid w:val="00752E9B"/>
    <w:rsid w:val="007551B1"/>
    <w:rsid w:val="007554B4"/>
    <w:rsid w:val="0076730C"/>
    <w:rsid w:val="00780818"/>
    <w:rsid w:val="00797464"/>
    <w:rsid w:val="007A027C"/>
    <w:rsid w:val="007A42E8"/>
    <w:rsid w:val="007B1BD8"/>
    <w:rsid w:val="007C0A57"/>
    <w:rsid w:val="007C4FCA"/>
    <w:rsid w:val="007F0464"/>
    <w:rsid w:val="00836D5A"/>
    <w:rsid w:val="008509F3"/>
    <w:rsid w:val="00875A09"/>
    <w:rsid w:val="008B05D2"/>
    <w:rsid w:val="008B6987"/>
    <w:rsid w:val="008B7D5E"/>
    <w:rsid w:val="008D4420"/>
    <w:rsid w:val="008F3B16"/>
    <w:rsid w:val="00903591"/>
    <w:rsid w:val="00914931"/>
    <w:rsid w:val="00914DDD"/>
    <w:rsid w:val="00915785"/>
    <w:rsid w:val="00940BDE"/>
    <w:rsid w:val="0095063E"/>
    <w:rsid w:val="00963C2B"/>
    <w:rsid w:val="00972B1E"/>
    <w:rsid w:val="0098059B"/>
    <w:rsid w:val="00990AF5"/>
    <w:rsid w:val="009A1F19"/>
    <w:rsid w:val="009A2F31"/>
    <w:rsid w:val="009A57A3"/>
    <w:rsid w:val="009C454E"/>
    <w:rsid w:val="009D00E1"/>
    <w:rsid w:val="009D7276"/>
    <w:rsid w:val="009F173A"/>
    <w:rsid w:val="009F3440"/>
    <w:rsid w:val="00A12D7D"/>
    <w:rsid w:val="00A2382E"/>
    <w:rsid w:val="00A559F1"/>
    <w:rsid w:val="00A56179"/>
    <w:rsid w:val="00A73668"/>
    <w:rsid w:val="00A82034"/>
    <w:rsid w:val="00AB08B0"/>
    <w:rsid w:val="00AB0D92"/>
    <w:rsid w:val="00AC27DD"/>
    <w:rsid w:val="00AD1866"/>
    <w:rsid w:val="00AE6523"/>
    <w:rsid w:val="00AF3C03"/>
    <w:rsid w:val="00B018C0"/>
    <w:rsid w:val="00B11ABF"/>
    <w:rsid w:val="00B14353"/>
    <w:rsid w:val="00B14504"/>
    <w:rsid w:val="00B213F5"/>
    <w:rsid w:val="00B2599A"/>
    <w:rsid w:val="00B30B7D"/>
    <w:rsid w:val="00B34C5E"/>
    <w:rsid w:val="00B70789"/>
    <w:rsid w:val="00B8086A"/>
    <w:rsid w:val="00B97564"/>
    <w:rsid w:val="00BA660A"/>
    <w:rsid w:val="00BA6DEA"/>
    <w:rsid w:val="00BA7E2E"/>
    <w:rsid w:val="00BB2D7E"/>
    <w:rsid w:val="00BB764F"/>
    <w:rsid w:val="00BC544B"/>
    <w:rsid w:val="00BE7F88"/>
    <w:rsid w:val="00BF2C89"/>
    <w:rsid w:val="00C1759F"/>
    <w:rsid w:val="00C420A7"/>
    <w:rsid w:val="00C42FE0"/>
    <w:rsid w:val="00C46950"/>
    <w:rsid w:val="00C46E80"/>
    <w:rsid w:val="00C57BC3"/>
    <w:rsid w:val="00C716C5"/>
    <w:rsid w:val="00C72EF7"/>
    <w:rsid w:val="00CA021D"/>
    <w:rsid w:val="00CB47D5"/>
    <w:rsid w:val="00CF3247"/>
    <w:rsid w:val="00D05D6B"/>
    <w:rsid w:val="00D06788"/>
    <w:rsid w:val="00D105F8"/>
    <w:rsid w:val="00D22093"/>
    <w:rsid w:val="00D26EB0"/>
    <w:rsid w:val="00D471DE"/>
    <w:rsid w:val="00D548D4"/>
    <w:rsid w:val="00D70AF4"/>
    <w:rsid w:val="00D74CEB"/>
    <w:rsid w:val="00D87A3C"/>
    <w:rsid w:val="00D91D61"/>
    <w:rsid w:val="00D94DA8"/>
    <w:rsid w:val="00DA0AD6"/>
    <w:rsid w:val="00DC377C"/>
    <w:rsid w:val="00DE5B34"/>
    <w:rsid w:val="00DF2BA3"/>
    <w:rsid w:val="00E021A3"/>
    <w:rsid w:val="00E33716"/>
    <w:rsid w:val="00E45A06"/>
    <w:rsid w:val="00E51A84"/>
    <w:rsid w:val="00E658DF"/>
    <w:rsid w:val="00E67FA1"/>
    <w:rsid w:val="00E73640"/>
    <w:rsid w:val="00E76BD7"/>
    <w:rsid w:val="00E817A5"/>
    <w:rsid w:val="00E849AA"/>
    <w:rsid w:val="00E97C78"/>
    <w:rsid w:val="00EB0223"/>
    <w:rsid w:val="00EB79F8"/>
    <w:rsid w:val="00EE2AD9"/>
    <w:rsid w:val="00EE2F37"/>
    <w:rsid w:val="00F05355"/>
    <w:rsid w:val="00F11977"/>
    <w:rsid w:val="00F22762"/>
    <w:rsid w:val="00F3131F"/>
    <w:rsid w:val="00F31F02"/>
    <w:rsid w:val="00F42DED"/>
    <w:rsid w:val="00F6497D"/>
    <w:rsid w:val="00F732B1"/>
    <w:rsid w:val="00F73A56"/>
    <w:rsid w:val="00F74BF3"/>
    <w:rsid w:val="00F80958"/>
    <w:rsid w:val="00F93DE8"/>
    <w:rsid w:val="00FA2707"/>
    <w:rsid w:val="00FB51D3"/>
    <w:rsid w:val="00FB6BDF"/>
    <w:rsid w:val="00FC2BC0"/>
    <w:rsid w:val="00FC30F1"/>
    <w:rsid w:val="00FD1633"/>
    <w:rsid w:val="00FE107C"/>
    <w:rsid w:val="00FE3075"/>
    <w:rsid w:val="00FE7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1D6"/>
    <w:rPr>
      <w:rFonts w:ascii="Arial" w:hAnsi="Arial"/>
      <w:sz w:val="24"/>
      <w:lang w:val="en-US" w:eastAsia="en-US"/>
    </w:rPr>
  </w:style>
  <w:style w:type="paragraph" w:styleId="Heading1">
    <w:name w:val="heading 1"/>
    <w:aliases w:val="Main"/>
    <w:basedOn w:val="Normal"/>
    <w:next w:val="NormalIndent"/>
    <w:qFormat/>
    <w:rsid w:val="000471D6"/>
    <w:pPr>
      <w:keepNext/>
      <w:numPr>
        <w:numId w:val="28"/>
      </w:numPr>
      <w:spacing w:before="240" w:after="60"/>
      <w:outlineLvl w:val="0"/>
    </w:pPr>
    <w:rPr>
      <w:b/>
      <w:caps/>
      <w:kern w:val="28"/>
    </w:rPr>
  </w:style>
  <w:style w:type="paragraph" w:styleId="Heading2">
    <w:name w:val="heading 2"/>
    <w:aliases w:val="Intro"/>
    <w:basedOn w:val="Normal"/>
    <w:next w:val="NormalIndent"/>
    <w:qFormat/>
    <w:rsid w:val="000471D6"/>
    <w:pPr>
      <w:keepNext/>
      <w:numPr>
        <w:ilvl w:val="1"/>
        <w:numId w:val="29"/>
      </w:numPr>
      <w:spacing w:before="240" w:after="60"/>
      <w:outlineLvl w:val="1"/>
    </w:pPr>
  </w:style>
  <w:style w:type="paragraph" w:styleId="Heading3">
    <w:name w:val="heading 3"/>
    <w:basedOn w:val="Normal"/>
    <w:next w:val="NormalIndent"/>
    <w:qFormat/>
    <w:rsid w:val="000471D6"/>
    <w:pPr>
      <w:keepNext/>
      <w:numPr>
        <w:ilvl w:val="2"/>
        <w:numId w:val="30"/>
      </w:numPr>
      <w:spacing w:before="240" w:after="60"/>
      <w:outlineLvl w:val="2"/>
    </w:pPr>
  </w:style>
  <w:style w:type="paragraph" w:styleId="Heading4">
    <w:name w:val="heading 4"/>
    <w:basedOn w:val="Normal"/>
    <w:next w:val="NormalIndent"/>
    <w:qFormat/>
    <w:rsid w:val="000471D6"/>
    <w:pPr>
      <w:keepNext/>
      <w:numPr>
        <w:ilvl w:val="3"/>
        <w:numId w:val="31"/>
      </w:numPr>
      <w:spacing w:before="240" w:after="60"/>
      <w:outlineLvl w:val="3"/>
    </w:pPr>
  </w:style>
  <w:style w:type="paragraph" w:styleId="Heading5">
    <w:name w:val="heading 5"/>
    <w:basedOn w:val="Normal"/>
    <w:next w:val="NormalIndent"/>
    <w:qFormat/>
    <w:rsid w:val="000471D6"/>
    <w:pPr>
      <w:numPr>
        <w:ilvl w:val="4"/>
        <w:numId w:val="32"/>
      </w:numPr>
      <w:tabs>
        <w:tab w:val="clear" w:pos="1080"/>
      </w:tabs>
      <w:spacing w:before="240" w:after="60"/>
      <w:outlineLvl w:val="4"/>
    </w:pPr>
  </w:style>
  <w:style w:type="paragraph" w:styleId="Heading6">
    <w:name w:val="heading 6"/>
    <w:basedOn w:val="Normal"/>
    <w:next w:val="NormalIndent"/>
    <w:qFormat/>
    <w:rsid w:val="000471D6"/>
    <w:pPr>
      <w:numPr>
        <w:ilvl w:val="5"/>
        <w:numId w:val="33"/>
      </w:numPr>
      <w:spacing w:before="240" w:after="60"/>
      <w:outlineLvl w:val="5"/>
    </w:pPr>
  </w:style>
  <w:style w:type="paragraph" w:styleId="Heading7">
    <w:name w:val="heading 7"/>
    <w:basedOn w:val="Normal"/>
    <w:next w:val="NormalIndent"/>
    <w:qFormat/>
    <w:rsid w:val="000471D6"/>
    <w:pPr>
      <w:numPr>
        <w:ilvl w:val="6"/>
        <w:numId w:val="34"/>
      </w:numPr>
      <w:spacing w:before="240" w:after="60"/>
      <w:outlineLvl w:val="6"/>
    </w:pPr>
  </w:style>
  <w:style w:type="paragraph" w:styleId="Heading8">
    <w:name w:val="heading 8"/>
    <w:basedOn w:val="Normal"/>
    <w:next w:val="NormalIndent"/>
    <w:qFormat/>
    <w:rsid w:val="000471D6"/>
    <w:pPr>
      <w:numPr>
        <w:ilvl w:val="7"/>
        <w:numId w:val="35"/>
      </w:numPr>
      <w:tabs>
        <w:tab w:val="clear" w:pos="1800"/>
      </w:tabs>
      <w:spacing w:before="240" w:after="60"/>
      <w:outlineLvl w:val="7"/>
    </w:pPr>
  </w:style>
  <w:style w:type="paragraph" w:styleId="Heading9">
    <w:name w:val="heading 9"/>
    <w:basedOn w:val="Normal"/>
    <w:next w:val="NormalIndent"/>
    <w:qFormat/>
    <w:rsid w:val="000471D6"/>
    <w:pPr>
      <w:numPr>
        <w:ilvl w:val="8"/>
        <w:numId w:val="3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71D6"/>
    <w:rPr>
      <w:sz w:val="16"/>
    </w:rPr>
  </w:style>
  <w:style w:type="paragraph" w:styleId="NormalIndent">
    <w:name w:val="Normal Indent"/>
    <w:basedOn w:val="Normal"/>
    <w:rsid w:val="000471D6"/>
    <w:pPr>
      <w:ind w:left="2597"/>
    </w:pPr>
  </w:style>
  <w:style w:type="paragraph" w:styleId="TOC1">
    <w:name w:val="toc 1"/>
    <w:basedOn w:val="Normal"/>
    <w:next w:val="Normal"/>
    <w:autoRedefine/>
    <w:semiHidden/>
    <w:rsid w:val="000471D6"/>
    <w:pPr>
      <w:tabs>
        <w:tab w:val="right" w:leader="dot" w:pos="10206"/>
      </w:tabs>
      <w:ind w:left="2597"/>
    </w:pPr>
    <w:rPr>
      <w:caps/>
    </w:rPr>
  </w:style>
  <w:style w:type="paragraph" w:styleId="TOC2">
    <w:name w:val="toc 2"/>
    <w:basedOn w:val="Normal"/>
    <w:next w:val="Normal"/>
    <w:autoRedefine/>
    <w:semiHidden/>
    <w:rsid w:val="000471D6"/>
    <w:pPr>
      <w:tabs>
        <w:tab w:val="right" w:leader="dot" w:pos="10206"/>
      </w:tabs>
      <w:ind w:left="3164"/>
    </w:pPr>
  </w:style>
  <w:style w:type="paragraph" w:styleId="TOC3">
    <w:name w:val="toc 3"/>
    <w:basedOn w:val="Normal"/>
    <w:next w:val="Normal"/>
    <w:autoRedefine/>
    <w:semiHidden/>
    <w:rsid w:val="000471D6"/>
    <w:pPr>
      <w:tabs>
        <w:tab w:val="right" w:leader="dot" w:pos="10206"/>
      </w:tabs>
      <w:ind w:left="3731"/>
    </w:pPr>
  </w:style>
  <w:style w:type="paragraph" w:styleId="TOC4">
    <w:name w:val="toc 4"/>
    <w:basedOn w:val="Normal"/>
    <w:next w:val="Normal"/>
    <w:autoRedefine/>
    <w:semiHidden/>
    <w:rsid w:val="000471D6"/>
    <w:pPr>
      <w:tabs>
        <w:tab w:val="right" w:leader="dot" w:pos="10206"/>
      </w:tabs>
      <w:ind w:left="4298"/>
    </w:pPr>
  </w:style>
  <w:style w:type="paragraph" w:styleId="TOC5">
    <w:name w:val="toc 5"/>
    <w:basedOn w:val="Normal"/>
    <w:next w:val="Normal"/>
    <w:autoRedefine/>
    <w:semiHidden/>
    <w:rsid w:val="000471D6"/>
    <w:pPr>
      <w:tabs>
        <w:tab w:val="right" w:leader="dot" w:pos="10206"/>
      </w:tabs>
      <w:ind w:left="4865"/>
    </w:pPr>
  </w:style>
  <w:style w:type="paragraph" w:styleId="TOC6">
    <w:name w:val="toc 6"/>
    <w:basedOn w:val="Normal"/>
    <w:next w:val="Normal"/>
    <w:autoRedefine/>
    <w:semiHidden/>
    <w:rsid w:val="000471D6"/>
    <w:pPr>
      <w:tabs>
        <w:tab w:val="right" w:leader="dot" w:pos="10206"/>
      </w:tabs>
      <w:ind w:left="5432"/>
    </w:pPr>
  </w:style>
  <w:style w:type="paragraph" w:styleId="TOC7">
    <w:name w:val="toc 7"/>
    <w:basedOn w:val="Normal"/>
    <w:next w:val="Normal"/>
    <w:autoRedefine/>
    <w:semiHidden/>
    <w:rsid w:val="000471D6"/>
    <w:pPr>
      <w:tabs>
        <w:tab w:val="right" w:leader="dot" w:pos="10206"/>
      </w:tabs>
      <w:ind w:left="5999"/>
    </w:pPr>
  </w:style>
  <w:style w:type="paragraph" w:styleId="TOC8">
    <w:name w:val="toc 8"/>
    <w:basedOn w:val="Normal"/>
    <w:next w:val="Normal"/>
    <w:autoRedefine/>
    <w:semiHidden/>
    <w:rsid w:val="000471D6"/>
    <w:pPr>
      <w:tabs>
        <w:tab w:val="right" w:leader="dot" w:pos="10206"/>
      </w:tabs>
      <w:ind w:left="6566"/>
    </w:pPr>
  </w:style>
  <w:style w:type="paragraph" w:styleId="TOC9">
    <w:name w:val="toc 9"/>
    <w:basedOn w:val="Normal"/>
    <w:next w:val="Normal"/>
    <w:autoRedefine/>
    <w:semiHidden/>
    <w:rsid w:val="000471D6"/>
    <w:pPr>
      <w:tabs>
        <w:tab w:val="right" w:leader="dot" w:pos="10206"/>
      </w:tabs>
      <w:ind w:left="7133"/>
    </w:pPr>
  </w:style>
  <w:style w:type="character" w:styleId="PageNumber">
    <w:name w:val="page number"/>
    <w:basedOn w:val="DefaultParagraphFont"/>
    <w:rsid w:val="000471D6"/>
  </w:style>
  <w:style w:type="paragraph" w:styleId="Header">
    <w:name w:val="header"/>
    <w:basedOn w:val="Normal"/>
    <w:rsid w:val="000471D6"/>
  </w:style>
  <w:style w:type="character" w:styleId="Hyperlink">
    <w:name w:val="Hyperlink"/>
    <w:basedOn w:val="DefaultParagraphFont"/>
    <w:rsid w:val="000471D6"/>
    <w:rPr>
      <w:color w:val="0000FF"/>
      <w:u w:val="single"/>
    </w:rPr>
  </w:style>
  <w:style w:type="paragraph" w:styleId="BodyText">
    <w:name w:val="Body Text"/>
    <w:basedOn w:val="Normal"/>
    <w:rsid w:val="000471D6"/>
    <w:pPr>
      <w:ind w:right="679"/>
    </w:pPr>
    <w:rPr>
      <w:rFonts w:ascii="Verdana" w:hAnsi="Verdana"/>
      <w:b/>
      <w:sz w:val="40"/>
      <w:lang w:val="sv-SE"/>
    </w:rPr>
  </w:style>
  <w:style w:type="paragraph" w:styleId="BodyText2">
    <w:name w:val="Body Text 2"/>
    <w:basedOn w:val="Normal"/>
    <w:rsid w:val="000471D6"/>
    <w:pPr>
      <w:ind w:right="679"/>
    </w:pPr>
    <w:rPr>
      <w:rFonts w:ascii="Verdana" w:hAnsi="Verdana"/>
      <w:b/>
    </w:rPr>
  </w:style>
  <w:style w:type="paragraph" w:styleId="BodyText3">
    <w:name w:val="Body Text 3"/>
    <w:basedOn w:val="Normal"/>
    <w:rsid w:val="000471D6"/>
    <w:rPr>
      <w:rFonts w:ascii="Verdana" w:hAnsi="Verdana"/>
      <w:sz w:val="20"/>
    </w:rPr>
  </w:style>
  <w:style w:type="paragraph" w:styleId="Title">
    <w:name w:val="Title"/>
    <w:basedOn w:val="Normal"/>
    <w:qFormat/>
    <w:rsid w:val="000471D6"/>
    <w:pPr>
      <w:jc w:val="center"/>
    </w:pPr>
    <w:rPr>
      <w:b/>
      <w:sz w:val="28"/>
    </w:rPr>
  </w:style>
  <w:style w:type="paragraph" w:styleId="NormalWeb">
    <w:name w:val="Normal (Web)"/>
    <w:basedOn w:val="Normal"/>
    <w:rsid w:val="006E0397"/>
    <w:pPr>
      <w:spacing w:before="100" w:beforeAutospacing="1" w:after="100" w:afterAutospacing="1"/>
    </w:pPr>
    <w:rPr>
      <w:rFonts w:ascii="Times New Roman" w:hAnsi="Times New Roman"/>
      <w:szCs w:val="24"/>
    </w:rPr>
  </w:style>
  <w:style w:type="paragraph" w:customStyle="1" w:styleId="CM4">
    <w:name w:val="CM4"/>
    <w:basedOn w:val="Normal"/>
    <w:next w:val="Normal"/>
    <w:rsid w:val="0012264A"/>
    <w:pPr>
      <w:widowControl w:val="0"/>
      <w:autoSpaceDE w:val="0"/>
      <w:autoSpaceDN w:val="0"/>
      <w:adjustRightInd w:val="0"/>
      <w:spacing w:after="140"/>
    </w:pPr>
    <w:rPr>
      <w:rFonts w:ascii="GillSans" w:hAnsi="GillSans"/>
      <w:szCs w:val="24"/>
    </w:rPr>
  </w:style>
  <w:style w:type="table" w:styleId="TableGrid">
    <w:name w:val="Table Grid"/>
    <w:basedOn w:val="TableNormal"/>
    <w:rsid w:val="009D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A1C"/>
    <w:rPr>
      <w:rFonts w:ascii="Tahoma" w:hAnsi="Tahoma" w:cs="Tahoma"/>
      <w:sz w:val="16"/>
      <w:szCs w:val="16"/>
    </w:rPr>
  </w:style>
  <w:style w:type="character" w:customStyle="1" w:styleId="BalloonTextChar">
    <w:name w:val="Balloon Text Char"/>
    <w:basedOn w:val="DefaultParagraphFont"/>
    <w:link w:val="BalloonText"/>
    <w:rsid w:val="000D2A1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1D6"/>
    <w:rPr>
      <w:rFonts w:ascii="Arial" w:hAnsi="Arial"/>
      <w:sz w:val="24"/>
      <w:lang w:val="en-US" w:eastAsia="en-US"/>
    </w:rPr>
  </w:style>
  <w:style w:type="paragraph" w:styleId="Heading1">
    <w:name w:val="heading 1"/>
    <w:aliases w:val="Main"/>
    <w:basedOn w:val="Normal"/>
    <w:next w:val="NormalIndent"/>
    <w:qFormat/>
    <w:rsid w:val="000471D6"/>
    <w:pPr>
      <w:keepNext/>
      <w:numPr>
        <w:numId w:val="28"/>
      </w:numPr>
      <w:spacing w:before="240" w:after="60"/>
      <w:outlineLvl w:val="0"/>
    </w:pPr>
    <w:rPr>
      <w:b/>
      <w:caps/>
      <w:kern w:val="28"/>
    </w:rPr>
  </w:style>
  <w:style w:type="paragraph" w:styleId="Heading2">
    <w:name w:val="heading 2"/>
    <w:aliases w:val="Intro"/>
    <w:basedOn w:val="Normal"/>
    <w:next w:val="NormalIndent"/>
    <w:qFormat/>
    <w:rsid w:val="000471D6"/>
    <w:pPr>
      <w:keepNext/>
      <w:numPr>
        <w:ilvl w:val="1"/>
        <w:numId w:val="29"/>
      </w:numPr>
      <w:spacing w:before="240" w:after="60"/>
      <w:outlineLvl w:val="1"/>
    </w:pPr>
  </w:style>
  <w:style w:type="paragraph" w:styleId="Heading3">
    <w:name w:val="heading 3"/>
    <w:basedOn w:val="Normal"/>
    <w:next w:val="NormalIndent"/>
    <w:qFormat/>
    <w:rsid w:val="000471D6"/>
    <w:pPr>
      <w:keepNext/>
      <w:numPr>
        <w:ilvl w:val="2"/>
        <w:numId w:val="30"/>
      </w:numPr>
      <w:spacing w:before="240" w:after="60"/>
      <w:outlineLvl w:val="2"/>
    </w:pPr>
  </w:style>
  <w:style w:type="paragraph" w:styleId="Heading4">
    <w:name w:val="heading 4"/>
    <w:basedOn w:val="Normal"/>
    <w:next w:val="NormalIndent"/>
    <w:qFormat/>
    <w:rsid w:val="000471D6"/>
    <w:pPr>
      <w:keepNext/>
      <w:numPr>
        <w:ilvl w:val="3"/>
        <w:numId w:val="31"/>
      </w:numPr>
      <w:spacing w:before="240" w:after="60"/>
      <w:outlineLvl w:val="3"/>
    </w:pPr>
  </w:style>
  <w:style w:type="paragraph" w:styleId="Heading5">
    <w:name w:val="heading 5"/>
    <w:basedOn w:val="Normal"/>
    <w:next w:val="NormalIndent"/>
    <w:qFormat/>
    <w:rsid w:val="000471D6"/>
    <w:pPr>
      <w:numPr>
        <w:ilvl w:val="4"/>
        <w:numId w:val="32"/>
      </w:numPr>
      <w:tabs>
        <w:tab w:val="clear" w:pos="1080"/>
      </w:tabs>
      <w:spacing w:before="240" w:after="60"/>
      <w:outlineLvl w:val="4"/>
    </w:pPr>
  </w:style>
  <w:style w:type="paragraph" w:styleId="Heading6">
    <w:name w:val="heading 6"/>
    <w:basedOn w:val="Normal"/>
    <w:next w:val="NormalIndent"/>
    <w:qFormat/>
    <w:rsid w:val="000471D6"/>
    <w:pPr>
      <w:numPr>
        <w:ilvl w:val="5"/>
        <w:numId w:val="33"/>
      </w:numPr>
      <w:spacing w:before="240" w:after="60"/>
      <w:outlineLvl w:val="5"/>
    </w:pPr>
  </w:style>
  <w:style w:type="paragraph" w:styleId="Heading7">
    <w:name w:val="heading 7"/>
    <w:basedOn w:val="Normal"/>
    <w:next w:val="NormalIndent"/>
    <w:qFormat/>
    <w:rsid w:val="000471D6"/>
    <w:pPr>
      <w:numPr>
        <w:ilvl w:val="6"/>
        <w:numId w:val="34"/>
      </w:numPr>
      <w:spacing w:before="240" w:after="60"/>
      <w:outlineLvl w:val="6"/>
    </w:pPr>
  </w:style>
  <w:style w:type="paragraph" w:styleId="Heading8">
    <w:name w:val="heading 8"/>
    <w:basedOn w:val="Normal"/>
    <w:next w:val="NormalIndent"/>
    <w:qFormat/>
    <w:rsid w:val="000471D6"/>
    <w:pPr>
      <w:numPr>
        <w:ilvl w:val="7"/>
        <w:numId w:val="35"/>
      </w:numPr>
      <w:tabs>
        <w:tab w:val="clear" w:pos="1800"/>
      </w:tabs>
      <w:spacing w:before="240" w:after="60"/>
      <w:outlineLvl w:val="7"/>
    </w:pPr>
  </w:style>
  <w:style w:type="paragraph" w:styleId="Heading9">
    <w:name w:val="heading 9"/>
    <w:basedOn w:val="Normal"/>
    <w:next w:val="NormalIndent"/>
    <w:qFormat/>
    <w:rsid w:val="000471D6"/>
    <w:pPr>
      <w:numPr>
        <w:ilvl w:val="8"/>
        <w:numId w:val="3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71D6"/>
    <w:rPr>
      <w:sz w:val="16"/>
    </w:rPr>
  </w:style>
  <w:style w:type="paragraph" w:styleId="NormalIndent">
    <w:name w:val="Normal Indent"/>
    <w:basedOn w:val="Normal"/>
    <w:rsid w:val="000471D6"/>
    <w:pPr>
      <w:ind w:left="2597"/>
    </w:pPr>
  </w:style>
  <w:style w:type="paragraph" w:styleId="TOC1">
    <w:name w:val="toc 1"/>
    <w:basedOn w:val="Normal"/>
    <w:next w:val="Normal"/>
    <w:autoRedefine/>
    <w:semiHidden/>
    <w:rsid w:val="000471D6"/>
    <w:pPr>
      <w:tabs>
        <w:tab w:val="right" w:leader="dot" w:pos="10206"/>
      </w:tabs>
      <w:ind w:left="2597"/>
    </w:pPr>
    <w:rPr>
      <w:caps/>
    </w:rPr>
  </w:style>
  <w:style w:type="paragraph" w:styleId="TOC2">
    <w:name w:val="toc 2"/>
    <w:basedOn w:val="Normal"/>
    <w:next w:val="Normal"/>
    <w:autoRedefine/>
    <w:semiHidden/>
    <w:rsid w:val="000471D6"/>
    <w:pPr>
      <w:tabs>
        <w:tab w:val="right" w:leader="dot" w:pos="10206"/>
      </w:tabs>
      <w:ind w:left="3164"/>
    </w:pPr>
  </w:style>
  <w:style w:type="paragraph" w:styleId="TOC3">
    <w:name w:val="toc 3"/>
    <w:basedOn w:val="Normal"/>
    <w:next w:val="Normal"/>
    <w:autoRedefine/>
    <w:semiHidden/>
    <w:rsid w:val="000471D6"/>
    <w:pPr>
      <w:tabs>
        <w:tab w:val="right" w:leader="dot" w:pos="10206"/>
      </w:tabs>
      <w:ind w:left="3731"/>
    </w:pPr>
  </w:style>
  <w:style w:type="paragraph" w:styleId="TOC4">
    <w:name w:val="toc 4"/>
    <w:basedOn w:val="Normal"/>
    <w:next w:val="Normal"/>
    <w:autoRedefine/>
    <w:semiHidden/>
    <w:rsid w:val="000471D6"/>
    <w:pPr>
      <w:tabs>
        <w:tab w:val="right" w:leader="dot" w:pos="10206"/>
      </w:tabs>
      <w:ind w:left="4298"/>
    </w:pPr>
  </w:style>
  <w:style w:type="paragraph" w:styleId="TOC5">
    <w:name w:val="toc 5"/>
    <w:basedOn w:val="Normal"/>
    <w:next w:val="Normal"/>
    <w:autoRedefine/>
    <w:semiHidden/>
    <w:rsid w:val="000471D6"/>
    <w:pPr>
      <w:tabs>
        <w:tab w:val="right" w:leader="dot" w:pos="10206"/>
      </w:tabs>
      <w:ind w:left="4865"/>
    </w:pPr>
  </w:style>
  <w:style w:type="paragraph" w:styleId="TOC6">
    <w:name w:val="toc 6"/>
    <w:basedOn w:val="Normal"/>
    <w:next w:val="Normal"/>
    <w:autoRedefine/>
    <w:semiHidden/>
    <w:rsid w:val="000471D6"/>
    <w:pPr>
      <w:tabs>
        <w:tab w:val="right" w:leader="dot" w:pos="10206"/>
      </w:tabs>
      <w:ind w:left="5432"/>
    </w:pPr>
  </w:style>
  <w:style w:type="paragraph" w:styleId="TOC7">
    <w:name w:val="toc 7"/>
    <w:basedOn w:val="Normal"/>
    <w:next w:val="Normal"/>
    <w:autoRedefine/>
    <w:semiHidden/>
    <w:rsid w:val="000471D6"/>
    <w:pPr>
      <w:tabs>
        <w:tab w:val="right" w:leader="dot" w:pos="10206"/>
      </w:tabs>
      <w:ind w:left="5999"/>
    </w:pPr>
  </w:style>
  <w:style w:type="paragraph" w:styleId="TOC8">
    <w:name w:val="toc 8"/>
    <w:basedOn w:val="Normal"/>
    <w:next w:val="Normal"/>
    <w:autoRedefine/>
    <w:semiHidden/>
    <w:rsid w:val="000471D6"/>
    <w:pPr>
      <w:tabs>
        <w:tab w:val="right" w:leader="dot" w:pos="10206"/>
      </w:tabs>
      <w:ind w:left="6566"/>
    </w:pPr>
  </w:style>
  <w:style w:type="paragraph" w:styleId="TOC9">
    <w:name w:val="toc 9"/>
    <w:basedOn w:val="Normal"/>
    <w:next w:val="Normal"/>
    <w:autoRedefine/>
    <w:semiHidden/>
    <w:rsid w:val="000471D6"/>
    <w:pPr>
      <w:tabs>
        <w:tab w:val="right" w:leader="dot" w:pos="10206"/>
      </w:tabs>
      <w:ind w:left="7133"/>
    </w:pPr>
  </w:style>
  <w:style w:type="character" w:styleId="PageNumber">
    <w:name w:val="page number"/>
    <w:basedOn w:val="DefaultParagraphFont"/>
    <w:rsid w:val="000471D6"/>
  </w:style>
  <w:style w:type="paragraph" w:styleId="Header">
    <w:name w:val="header"/>
    <w:basedOn w:val="Normal"/>
    <w:rsid w:val="000471D6"/>
  </w:style>
  <w:style w:type="character" w:styleId="Hyperlink">
    <w:name w:val="Hyperlink"/>
    <w:basedOn w:val="DefaultParagraphFont"/>
    <w:rsid w:val="000471D6"/>
    <w:rPr>
      <w:color w:val="0000FF"/>
      <w:u w:val="single"/>
    </w:rPr>
  </w:style>
  <w:style w:type="paragraph" w:styleId="BodyText">
    <w:name w:val="Body Text"/>
    <w:basedOn w:val="Normal"/>
    <w:rsid w:val="000471D6"/>
    <w:pPr>
      <w:ind w:right="679"/>
    </w:pPr>
    <w:rPr>
      <w:rFonts w:ascii="Verdana" w:hAnsi="Verdana"/>
      <w:b/>
      <w:sz w:val="40"/>
      <w:lang w:val="sv-SE"/>
    </w:rPr>
  </w:style>
  <w:style w:type="paragraph" w:styleId="BodyText2">
    <w:name w:val="Body Text 2"/>
    <w:basedOn w:val="Normal"/>
    <w:rsid w:val="000471D6"/>
    <w:pPr>
      <w:ind w:right="679"/>
    </w:pPr>
    <w:rPr>
      <w:rFonts w:ascii="Verdana" w:hAnsi="Verdana"/>
      <w:b/>
    </w:rPr>
  </w:style>
  <w:style w:type="paragraph" w:styleId="BodyText3">
    <w:name w:val="Body Text 3"/>
    <w:basedOn w:val="Normal"/>
    <w:rsid w:val="000471D6"/>
    <w:rPr>
      <w:rFonts w:ascii="Verdana" w:hAnsi="Verdana"/>
      <w:sz w:val="20"/>
    </w:rPr>
  </w:style>
  <w:style w:type="paragraph" w:styleId="Title">
    <w:name w:val="Title"/>
    <w:basedOn w:val="Normal"/>
    <w:qFormat/>
    <w:rsid w:val="000471D6"/>
    <w:pPr>
      <w:jc w:val="center"/>
    </w:pPr>
    <w:rPr>
      <w:b/>
      <w:sz w:val="28"/>
    </w:rPr>
  </w:style>
  <w:style w:type="paragraph" w:styleId="NormalWeb">
    <w:name w:val="Normal (Web)"/>
    <w:basedOn w:val="Normal"/>
    <w:rsid w:val="006E0397"/>
    <w:pPr>
      <w:spacing w:before="100" w:beforeAutospacing="1" w:after="100" w:afterAutospacing="1"/>
    </w:pPr>
    <w:rPr>
      <w:rFonts w:ascii="Times New Roman" w:hAnsi="Times New Roman"/>
      <w:szCs w:val="24"/>
    </w:rPr>
  </w:style>
  <w:style w:type="paragraph" w:customStyle="1" w:styleId="CM4">
    <w:name w:val="CM4"/>
    <w:basedOn w:val="Normal"/>
    <w:next w:val="Normal"/>
    <w:rsid w:val="0012264A"/>
    <w:pPr>
      <w:widowControl w:val="0"/>
      <w:autoSpaceDE w:val="0"/>
      <w:autoSpaceDN w:val="0"/>
      <w:adjustRightInd w:val="0"/>
      <w:spacing w:after="140"/>
    </w:pPr>
    <w:rPr>
      <w:rFonts w:ascii="GillSans" w:hAnsi="GillSans"/>
      <w:szCs w:val="24"/>
    </w:rPr>
  </w:style>
  <w:style w:type="table" w:styleId="TableGrid">
    <w:name w:val="Table Grid"/>
    <w:basedOn w:val="TableNormal"/>
    <w:rsid w:val="009D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A1C"/>
    <w:rPr>
      <w:rFonts w:ascii="Tahoma" w:hAnsi="Tahoma" w:cs="Tahoma"/>
      <w:sz w:val="16"/>
      <w:szCs w:val="16"/>
    </w:rPr>
  </w:style>
  <w:style w:type="character" w:customStyle="1" w:styleId="BalloonTextChar">
    <w:name w:val="Balloon Text Char"/>
    <w:basedOn w:val="DefaultParagraphFont"/>
    <w:link w:val="BalloonText"/>
    <w:rsid w:val="000D2A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9057">
      <w:bodyDiv w:val="1"/>
      <w:marLeft w:val="0"/>
      <w:marRight w:val="0"/>
      <w:marTop w:val="0"/>
      <w:marBottom w:val="0"/>
      <w:divBdr>
        <w:top w:val="none" w:sz="0" w:space="0" w:color="auto"/>
        <w:left w:val="none" w:sz="0" w:space="0" w:color="auto"/>
        <w:bottom w:val="none" w:sz="0" w:space="0" w:color="auto"/>
        <w:right w:val="none" w:sz="0" w:space="0" w:color="auto"/>
      </w:divBdr>
      <w:divsChild>
        <w:div w:id="1254242520">
          <w:marLeft w:val="0"/>
          <w:marRight w:val="0"/>
          <w:marTop w:val="0"/>
          <w:marBottom w:val="0"/>
          <w:divBdr>
            <w:top w:val="none" w:sz="0" w:space="0" w:color="auto"/>
            <w:left w:val="none" w:sz="0" w:space="0" w:color="auto"/>
            <w:bottom w:val="none" w:sz="0" w:space="0" w:color="auto"/>
            <w:right w:val="none" w:sz="0" w:space="0" w:color="auto"/>
          </w:divBdr>
          <w:divsChild>
            <w:div w:id="516626877">
              <w:marLeft w:val="0"/>
              <w:marRight w:val="0"/>
              <w:marTop w:val="0"/>
              <w:marBottom w:val="0"/>
              <w:divBdr>
                <w:top w:val="none" w:sz="0" w:space="0" w:color="auto"/>
                <w:left w:val="none" w:sz="0" w:space="0" w:color="auto"/>
                <w:bottom w:val="none" w:sz="0" w:space="0" w:color="auto"/>
                <w:right w:val="none" w:sz="0" w:space="0" w:color="auto"/>
              </w:divBdr>
            </w:div>
            <w:div w:id="1165053029">
              <w:marLeft w:val="0"/>
              <w:marRight w:val="0"/>
              <w:marTop w:val="0"/>
              <w:marBottom w:val="0"/>
              <w:divBdr>
                <w:top w:val="none" w:sz="0" w:space="0" w:color="auto"/>
                <w:left w:val="none" w:sz="0" w:space="0" w:color="auto"/>
                <w:bottom w:val="none" w:sz="0" w:space="0" w:color="auto"/>
                <w:right w:val="none" w:sz="0" w:space="0" w:color="auto"/>
              </w:divBdr>
            </w:div>
            <w:div w:id="1851332115">
              <w:marLeft w:val="0"/>
              <w:marRight w:val="0"/>
              <w:marTop w:val="0"/>
              <w:marBottom w:val="0"/>
              <w:divBdr>
                <w:top w:val="none" w:sz="0" w:space="0" w:color="auto"/>
                <w:left w:val="none" w:sz="0" w:space="0" w:color="auto"/>
                <w:bottom w:val="none" w:sz="0" w:space="0" w:color="auto"/>
                <w:right w:val="none" w:sz="0" w:space="0" w:color="auto"/>
              </w:divBdr>
            </w:div>
            <w:div w:id="2008744823">
              <w:marLeft w:val="0"/>
              <w:marRight w:val="0"/>
              <w:marTop w:val="0"/>
              <w:marBottom w:val="0"/>
              <w:divBdr>
                <w:top w:val="none" w:sz="0" w:space="0" w:color="auto"/>
                <w:left w:val="none" w:sz="0" w:space="0" w:color="auto"/>
                <w:bottom w:val="none" w:sz="0" w:space="0" w:color="auto"/>
                <w:right w:val="none" w:sz="0" w:space="0" w:color="auto"/>
              </w:divBdr>
            </w:div>
            <w:div w:id="2011522687">
              <w:marLeft w:val="0"/>
              <w:marRight w:val="0"/>
              <w:marTop w:val="0"/>
              <w:marBottom w:val="0"/>
              <w:divBdr>
                <w:top w:val="none" w:sz="0" w:space="0" w:color="auto"/>
                <w:left w:val="none" w:sz="0" w:space="0" w:color="auto"/>
                <w:bottom w:val="none" w:sz="0" w:space="0" w:color="auto"/>
                <w:right w:val="none" w:sz="0" w:space="0" w:color="auto"/>
              </w:divBdr>
            </w:div>
            <w:div w:id="2136750765">
              <w:marLeft w:val="0"/>
              <w:marRight w:val="0"/>
              <w:marTop w:val="0"/>
              <w:marBottom w:val="0"/>
              <w:divBdr>
                <w:top w:val="none" w:sz="0" w:space="0" w:color="auto"/>
                <w:left w:val="none" w:sz="0" w:space="0" w:color="auto"/>
                <w:bottom w:val="none" w:sz="0" w:space="0" w:color="auto"/>
                <w:right w:val="none" w:sz="0" w:space="0" w:color="auto"/>
              </w:divBdr>
            </w:div>
            <w:div w:id="21406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0838">
      <w:bodyDiv w:val="1"/>
      <w:marLeft w:val="0"/>
      <w:marRight w:val="0"/>
      <w:marTop w:val="0"/>
      <w:marBottom w:val="0"/>
      <w:divBdr>
        <w:top w:val="none" w:sz="0" w:space="0" w:color="auto"/>
        <w:left w:val="none" w:sz="0" w:space="0" w:color="auto"/>
        <w:bottom w:val="none" w:sz="0" w:space="0" w:color="auto"/>
        <w:right w:val="none" w:sz="0" w:space="0" w:color="auto"/>
      </w:divBdr>
    </w:div>
    <w:div w:id="14179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D3BC-9FC2-412E-8C6D-32544D5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 </vt:lpstr>
    </vt:vector>
  </TitlesOfParts>
  <Company>Sandvik Mining and Construction</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Sandvik TIM3D</dc:subject>
  <dc:creator>Nina Lehtonen</dc:creator>
  <cp:keywords>November 2010</cp:keywords>
  <cp:lastModifiedBy>Tunnelbuilder Ltd</cp:lastModifiedBy>
  <cp:revision>2</cp:revision>
  <cp:lastPrinted>2011-10-21T14:01:00Z</cp:lastPrinted>
  <dcterms:created xsi:type="dcterms:W3CDTF">2012-03-30T12:01:00Z</dcterms:created>
  <dcterms:modified xsi:type="dcterms:W3CDTF">2012-03-30T12:01:00Z</dcterms:modified>
</cp:coreProperties>
</file>